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FC008C">
      <w:pPr>
        <w:pStyle w:val="7"/>
        <w:spacing w:before="240" w:after="120" w:line="440" w:lineRule="exact"/>
        <w:rPr>
          <w:rFonts w:hint="default" w:hAnsi="黑体" w:eastAsia="黑体" w:cs="黑体"/>
          <w:b/>
          <w:bCs w:val="0"/>
          <w:kern w:val="0"/>
          <w:sz w:val="32"/>
          <w:szCs w:val="32"/>
          <w:lang w:val="en-US" w:eastAsia="zh-CN"/>
        </w:rPr>
      </w:pPr>
      <w:r>
        <w:rPr>
          <w:rFonts w:hint="eastAsia" w:hAnsi="黑体" w:cs="黑体"/>
          <w:b/>
          <w:bCs w:val="0"/>
          <w:kern w:val="0"/>
          <w:sz w:val="32"/>
          <w:szCs w:val="32"/>
          <w:lang w:val="en-US" w:eastAsia="zh-CN"/>
        </w:rPr>
        <w:t>考核结算条款</w:t>
      </w:r>
    </w:p>
    <w:p w14:paraId="0D76E8DC">
      <w:pPr>
        <w:spacing w:line="360" w:lineRule="auto"/>
        <w:ind w:firstLine="482" w:firstLineChars="200"/>
        <w:rPr>
          <w:rFonts w:hint="eastAsia" w:ascii="宋体" w:hAnsi="宋体" w:cs="宋体"/>
          <w:b/>
          <w:bCs/>
          <w:color w:val="333333"/>
          <w:kern w:val="0"/>
          <w:sz w:val="24"/>
          <w:lang w:val="en-US" w:eastAsia="zh-CN"/>
        </w:rPr>
      </w:pPr>
      <w:r>
        <w:rPr>
          <w:rFonts w:hint="eastAsia" w:ascii="宋体" w:hAnsi="宋体" w:cs="宋体"/>
          <w:b/>
          <w:bCs/>
          <w:color w:val="333333"/>
          <w:kern w:val="0"/>
          <w:sz w:val="24"/>
          <w:lang w:val="en-US" w:eastAsia="zh-CN"/>
        </w:rPr>
        <w:t>1、考核管理要求：</w:t>
      </w:r>
    </w:p>
    <w:p w14:paraId="1C19C8E1">
      <w:pPr>
        <w:spacing w:line="360" w:lineRule="auto"/>
        <w:ind w:firstLine="480" w:firstLineChars="200"/>
        <w:rPr>
          <w:rFonts w:hint="eastAsia" w:ascii="宋体" w:hAnsi="宋体" w:cs="宋体"/>
          <w:color w:val="333333"/>
          <w:kern w:val="0"/>
          <w:sz w:val="24"/>
          <w:lang w:val="en-US" w:eastAsia="zh-CN"/>
        </w:rPr>
      </w:pPr>
      <w:r>
        <w:rPr>
          <w:rFonts w:hint="eastAsia" w:ascii="宋体" w:hAnsi="宋体" w:cs="宋体"/>
          <w:color w:val="333333"/>
          <w:kern w:val="0"/>
          <w:sz w:val="24"/>
          <w:lang w:val="en-US" w:eastAsia="zh-CN"/>
        </w:rPr>
        <w:t>每季度进行一轮考核结算（具体以合同签订为准），每个结算周期内，最终支付金额根据考核结果确定。若考核得分【90，100】，则全额付款；若考核得分【0，90），则结算款=应结算金额*（考核得分/100）%。</w:t>
      </w:r>
    </w:p>
    <w:p w14:paraId="2A2B2A43">
      <w:pPr>
        <w:spacing w:line="360" w:lineRule="auto"/>
        <w:ind w:firstLine="482" w:firstLineChars="200"/>
        <w:rPr>
          <w:rFonts w:hint="eastAsia" w:ascii="宋体" w:hAnsi="宋体" w:cs="宋体"/>
          <w:b/>
          <w:bCs/>
          <w:color w:val="333333"/>
          <w:kern w:val="0"/>
          <w:sz w:val="24"/>
          <w:lang w:val="en-US" w:eastAsia="zh-CN"/>
        </w:rPr>
      </w:pPr>
      <w:r>
        <w:rPr>
          <w:rFonts w:hint="eastAsia" w:ascii="宋体" w:hAnsi="宋体" w:cs="宋体"/>
          <w:b/>
          <w:bCs/>
          <w:color w:val="333333"/>
          <w:kern w:val="0"/>
          <w:sz w:val="24"/>
          <w:lang w:val="en-US" w:eastAsia="zh-CN"/>
        </w:rPr>
        <w:t>2、考核评分表：</w:t>
      </w:r>
    </w:p>
    <w:tbl>
      <w:tblPr>
        <w:tblW w:w="8283"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1966"/>
        <w:gridCol w:w="4926"/>
        <w:gridCol w:w="1391"/>
      </w:tblGrid>
      <w:tr w14:paraId="12CB4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8" w:hRule="atLeast"/>
        </w:trPr>
        <w:tc>
          <w:tcPr>
            <w:tcW w:w="1966" w:type="dxa"/>
            <w:tcBorders>
              <w:top w:val="single" w:color="000000" w:sz="4" w:space="0"/>
              <w:left w:val="single" w:color="000000" w:sz="4" w:space="0"/>
              <w:bottom w:val="single" w:color="000000" w:sz="4" w:space="0"/>
              <w:right w:val="single" w:color="000000" w:sz="4" w:space="0"/>
            </w:tcBorders>
            <w:shd w:val="clear"/>
            <w:vAlign w:val="center"/>
          </w:tcPr>
          <w:p w14:paraId="72D0A3B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考核项目</w:t>
            </w:r>
          </w:p>
        </w:tc>
        <w:tc>
          <w:tcPr>
            <w:tcW w:w="4926" w:type="dxa"/>
            <w:tcBorders>
              <w:top w:val="single" w:color="000000" w:sz="4" w:space="0"/>
              <w:left w:val="single" w:color="000000" w:sz="4" w:space="0"/>
              <w:bottom w:val="single" w:color="000000" w:sz="4" w:space="0"/>
              <w:right w:val="single" w:color="000000" w:sz="4" w:space="0"/>
            </w:tcBorders>
            <w:shd w:val="clear"/>
            <w:vAlign w:val="center"/>
          </w:tcPr>
          <w:p w14:paraId="46DE099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考核标准</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6387DFB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分值</w:t>
            </w:r>
          </w:p>
        </w:tc>
      </w:tr>
      <w:tr w14:paraId="44262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45" w:hRule="atLeast"/>
        </w:trPr>
        <w:tc>
          <w:tcPr>
            <w:tcW w:w="1966" w:type="dxa"/>
            <w:tcBorders>
              <w:top w:val="single" w:color="000000" w:sz="4" w:space="0"/>
              <w:left w:val="single" w:color="000000" w:sz="4" w:space="0"/>
              <w:bottom w:val="single" w:color="000000" w:sz="4" w:space="0"/>
              <w:right w:val="single" w:color="000000" w:sz="4" w:space="0"/>
            </w:tcBorders>
            <w:shd w:val="clear"/>
            <w:vAlign w:val="center"/>
          </w:tcPr>
          <w:p w14:paraId="7EC6001C">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进度支撑</w:t>
            </w:r>
          </w:p>
        </w:tc>
        <w:tc>
          <w:tcPr>
            <w:tcW w:w="4926" w:type="dxa"/>
            <w:tcBorders>
              <w:top w:val="single" w:color="000000" w:sz="4" w:space="0"/>
              <w:left w:val="single" w:color="000000" w:sz="4" w:space="0"/>
              <w:bottom w:val="single" w:color="000000" w:sz="4" w:space="0"/>
              <w:right w:val="single" w:color="000000" w:sz="4" w:space="0"/>
            </w:tcBorders>
            <w:shd w:val="clear"/>
            <w:vAlign w:val="center"/>
          </w:tcPr>
          <w:p w14:paraId="766A4DD7">
            <w:pPr>
              <w:keepNext w:val="0"/>
              <w:keepLines w:val="0"/>
              <w:widowControl/>
              <w:suppressLineNumbers w:val="0"/>
              <w:jc w:val="left"/>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在签约/承诺时限内完成产品开发/实施/交付，每出现一次延期扣2分</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0789FE6C">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10</w:t>
            </w:r>
          </w:p>
        </w:tc>
      </w:tr>
      <w:tr w14:paraId="50BD7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48" w:hRule="atLeast"/>
        </w:trPr>
        <w:tc>
          <w:tcPr>
            <w:tcW w:w="1966" w:type="dxa"/>
            <w:tcBorders>
              <w:top w:val="single" w:color="000000" w:sz="4" w:space="0"/>
              <w:left w:val="single" w:color="000000" w:sz="4" w:space="0"/>
              <w:bottom w:val="single" w:color="000000" w:sz="4" w:space="0"/>
              <w:right w:val="single" w:color="000000" w:sz="4" w:space="0"/>
            </w:tcBorders>
            <w:shd w:val="clear"/>
            <w:vAlign w:val="center"/>
          </w:tcPr>
          <w:p w14:paraId="530B2BC5">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客户保障</w:t>
            </w:r>
          </w:p>
        </w:tc>
        <w:tc>
          <w:tcPr>
            <w:tcW w:w="4926" w:type="dxa"/>
            <w:tcBorders>
              <w:top w:val="single" w:color="000000" w:sz="4" w:space="0"/>
              <w:left w:val="single" w:color="000000" w:sz="4" w:space="0"/>
              <w:bottom w:val="single" w:color="000000" w:sz="4" w:space="0"/>
              <w:right w:val="single" w:color="000000" w:sz="4" w:space="0"/>
            </w:tcBorders>
            <w:shd w:val="clear"/>
            <w:vAlign w:val="center"/>
          </w:tcPr>
          <w:p w14:paraId="24AD0698">
            <w:pPr>
              <w:keepNext w:val="0"/>
              <w:keepLines w:val="0"/>
              <w:widowControl/>
              <w:suppressLineNumbers w:val="0"/>
              <w:jc w:val="left"/>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甲方已签约客户，在合同期内如出现业务投诉（例如</w:t>
            </w:r>
            <w:r>
              <w:rPr>
                <w:rStyle w:val="8"/>
                <w:rFonts w:hint="eastAsia" w:ascii="宋体" w:hAnsi="宋体" w:eastAsia="宋体" w:cs="宋体"/>
                <w:b w:val="0"/>
                <w:bCs w:val="0"/>
                <w:color w:val="000000" w:themeColor="text1"/>
                <w:sz w:val="21"/>
                <w:szCs w:val="21"/>
                <w:bdr w:val="none" w:color="auto" w:sz="0" w:space="0"/>
                <w:lang w:val="en-US" w:eastAsia="zh-CN" w:bidi="ar"/>
                <w14:textFill>
                  <w14:solidFill>
                    <w14:schemeClr w14:val="tx1"/>
                  </w14:solidFill>
                </w14:textFill>
              </w:rPr>
              <w:t>邮件、公函</w:t>
            </w:r>
            <w:r>
              <w:rPr>
                <w:rStyle w:val="9"/>
                <w:rFonts w:hint="eastAsia" w:ascii="宋体" w:hAnsi="宋体" w:eastAsia="宋体" w:cs="宋体"/>
                <w:b w:val="0"/>
                <w:bCs w:val="0"/>
                <w:color w:val="000000" w:themeColor="text1"/>
                <w:sz w:val="21"/>
                <w:szCs w:val="21"/>
                <w:bdr w:val="none" w:color="auto" w:sz="0" w:space="0"/>
                <w:lang w:val="en-US" w:eastAsia="zh-CN" w:bidi="ar"/>
                <w14:textFill>
                  <w14:solidFill>
                    <w14:schemeClr w14:val="tx1"/>
                  </w14:solidFill>
                </w14:textFill>
              </w:rPr>
              <w:t>等形式），则每出现一次扣5分</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1B025308">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30</w:t>
            </w:r>
          </w:p>
        </w:tc>
      </w:tr>
      <w:tr w14:paraId="00170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45" w:hRule="atLeast"/>
        </w:trPr>
        <w:tc>
          <w:tcPr>
            <w:tcW w:w="1966" w:type="dxa"/>
            <w:tcBorders>
              <w:top w:val="single" w:color="000000" w:sz="4" w:space="0"/>
              <w:left w:val="single" w:color="000000" w:sz="4" w:space="0"/>
              <w:bottom w:val="single" w:color="000000" w:sz="4" w:space="0"/>
              <w:right w:val="single" w:color="000000" w:sz="4" w:space="0"/>
            </w:tcBorders>
            <w:shd w:val="clear"/>
            <w:vAlign w:val="center"/>
          </w:tcPr>
          <w:p w14:paraId="65FA3492">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系统稳定</w:t>
            </w:r>
          </w:p>
        </w:tc>
        <w:tc>
          <w:tcPr>
            <w:tcW w:w="4926" w:type="dxa"/>
            <w:tcBorders>
              <w:top w:val="single" w:color="000000" w:sz="4" w:space="0"/>
              <w:left w:val="single" w:color="000000" w:sz="4" w:space="0"/>
              <w:bottom w:val="single" w:color="000000" w:sz="4" w:space="0"/>
              <w:right w:val="single" w:color="000000" w:sz="4" w:space="0"/>
            </w:tcBorders>
            <w:shd w:val="clear"/>
            <w:vAlign w:val="center"/>
          </w:tcPr>
          <w:p w14:paraId="0641B4C5">
            <w:pPr>
              <w:keepNext w:val="0"/>
              <w:keepLines w:val="0"/>
              <w:widowControl/>
              <w:suppressLineNumbers w:val="0"/>
              <w:jc w:val="left"/>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产品推广期间，根据业务系统稳定性情况评分，每出现一次重大系统故障扣2分</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62E2BB58">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10</w:t>
            </w:r>
          </w:p>
        </w:tc>
      </w:tr>
      <w:tr w14:paraId="46439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45" w:hRule="atLeast"/>
        </w:trPr>
        <w:tc>
          <w:tcPr>
            <w:tcW w:w="1966" w:type="dxa"/>
            <w:tcBorders>
              <w:top w:val="single" w:color="000000" w:sz="4" w:space="0"/>
              <w:left w:val="single" w:color="000000" w:sz="4" w:space="0"/>
              <w:bottom w:val="single" w:color="000000" w:sz="4" w:space="0"/>
              <w:right w:val="single" w:color="000000" w:sz="4" w:space="0"/>
            </w:tcBorders>
            <w:shd w:val="clear"/>
            <w:vAlign w:val="center"/>
          </w:tcPr>
          <w:p w14:paraId="7010345A">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数据安全</w:t>
            </w:r>
          </w:p>
        </w:tc>
        <w:tc>
          <w:tcPr>
            <w:tcW w:w="4926" w:type="dxa"/>
            <w:tcBorders>
              <w:top w:val="single" w:color="000000" w:sz="4" w:space="0"/>
              <w:left w:val="single" w:color="000000" w:sz="4" w:space="0"/>
              <w:bottom w:val="single" w:color="000000" w:sz="4" w:space="0"/>
              <w:right w:val="single" w:color="000000" w:sz="4" w:space="0"/>
            </w:tcBorders>
            <w:shd w:val="clear"/>
            <w:vAlign w:val="center"/>
          </w:tcPr>
          <w:p w14:paraId="64C0B746">
            <w:pPr>
              <w:keepNext w:val="0"/>
              <w:keepLines w:val="0"/>
              <w:widowControl/>
              <w:suppressLineNumbers w:val="0"/>
              <w:jc w:val="left"/>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数据泄漏(用户数据信息、通讯录数据、其它数据)，造成重大影响的，每出现一次扣5分</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371A6C8F">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10</w:t>
            </w:r>
          </w:p>
        </w:tc>
      </w:tr>
      <w:tr w14:paraId="02EE6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37" w:hRule="atLeast"/>
        </w:trPr>
        <w:tc>
          <w:tcPr>
            <w:tcW w:w="1966" w:type="dxa"/>
            <w:tcBorders>
              <w:top w:val="single" w:color="000000" w:sz="4" w:space="0"/>
              <w:left w:val="single" w:color="000000" w:sz="4" w:space="0"/>
              <w:bottom w:val="single" w:color="000000" w:sz="4" w:space="0"/>
              <w:right w:val="single" w:color="000000" w:sz="4" w:space="0"/>
            </w:tcBorders>
            <w:shd w:val="clear"/>
            <w:vAlign w:val="center"/>
          </w:tcPr>
          <w:p w14:paraId="43662670">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信息安全</w:t>
            </w:r>
          </w:p>
        </w:tc>
        <w:tc>
          <w:tcPr>
            <w:tcW w:w="4926" w:type="dxa"/>
            <w:tcBorders>
              <w:top w:val="single" w:color="000000" w:sz="4" w:space="0"/>
              <w:left w:val="single" w:color="000000" w:sz="4" w:space="0"/>
              <w:bottom w:val="single" w:color="000000" w:sz="4" w:space="0"/>
              <w:right w:val="single" w:color="000000" w:sz="4" w:space="0"/>
            </w:tcBorders>
            <w:shd w:val="clear"/>
            <w:vAlign w:val="center"/>
          </w:tcPr>
          <w:p w14:paraId="6C120A9F">
            <w:pPr>
              <w:keepNext w:val="0"/>
              <w:keepLines w:val="0"/>
              <w:widowControl/>
              <w:suppressLineNumbers w:val="0"/>
              <w:jc w:val="left"/>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具备完善的信息安全保障机制，未经我司允许不得将双方合作运营的相关信息以任何形式向外部无关第三方传播、不得泄露客户相关个人信息，每出现一次信息安全问题扣2分</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0356B0AB">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10</w:t>
            </w:r>
          </w:p>
        </w:tc>
      </w:tr>
      <w:tr w14:paraId="3A3D2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61" w:hRule="atLeast"/>
        </w:trPr>
        <w:tc>
          <w:tcPr>
            <w:tcW w:w="1966" w:type="dxa"/>
            <w:tcBorders>
              <w:top w:val="single" w:color="000000" w:sz="4" w:space="0"/>
              <w:left w:val="single" w:color="000000" w:sz="4" w:space="0"/>
              <w:bottom w:val="single" w:color="000000" w:sz="4" w:space="0"/>
              <w:right w:val="single" w:color="000000" w:sz="4" w:space="0"/>
            </w:tcBorders>
            <w:shd w:val="clear"/>
            <w:vAlign w:val="center"/>
          </w:tcPr>
          <w:p w14:paraId="3FD2717D">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交付成果</w:t>
            </w:r>
          </w:p>
        </w:tc>
        <w:tc>
          <w:tcPr>
            <w:tcW w:w="4926" w:type="dxa"/>
            <w:tcBorders>
              <w:top w:val="single" w:color="000000" w:sz="4" w:space="0"/>
              <w:left w:val="single" w:color="000000" w:sz="4" w:space="0"/>
              <w:bottom w:val="single" w:color="000000" w:sz="4" w:space="0"/>
              <w:right w:val="single" w:color="000000" w:sz="4" w:space="0"/>
            </w:tcBorders>
            <w:shd w:val="clear"/>
            <w:vAlign w:val="center"/>
          </w:tcPr>
          <w:p w14:paraId="143F558A">
            <w:pPr>
              <w:keepNext w:val="0"/>
              <w:keepLines w:val="0"/>
              <w:widowControl/>
              <w:suppressLineNumbers w:val="0"/>
              <w:jc w:val="left"/>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根据项目落地后的质量、完善度进行评分，非常满意得【15-20】分，比较满意得【10-14】分，不满意得【5-9】分，非常不满意得【0-4】分</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722AA1CC">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20</w:t>
            </w:r>
          </w:p>
        </w:tc>
      </w:tr>
      <w:tr w14:paraId="0AC30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81" w:hRule="atLeast"/>
        </w:trPr>
        <w:tc>
          <w:tcPr>
            <w:tcW w:w="1966" w:type="dxa"/>
            <w:tcBorders>
              <w:top w:val="single" w:color="000000" w:sz="4" w:space="0"/>
              <w:left w:val="single" w:color="000000" w:sz="4" w:space="0"/>
              <w:bottom w:val="single" w:color="000000" w:sz="4" w:space="0"/>
              <w:right w:val="single" w:color="000000" w:sz="4" w:space="0"/>
            </w:tcBorders>
            <w:shd w:val="clear"/>
            <w:vAlign w:val="center"/>
          </w:tcPr>
          <w:p w14:paraId="63590EAB">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日常配合</w:t>
            </w:r>
          </w:p>
        </w:tc>
        <w:tc>
          <w:tcPr>
            <w:tcW w:w="4926" w:type="dxa"/>
            <w:tcBorders>
              <w:top w:val="single" w:color="000000" w:sz="4" w:space="0"/>
              <w:left w:val="single" w:color="000000" w:sz="4" w:space="0"/>
              <w:bottom w:val="single" w:color="000000" w:sz="4" w:space="0"/>
              <w:right w:val="single" w:color="000000" w:sz="4" w:space="0"/>
            </w:tcBorders>
            <w:shd w:val="clear"/>
            <w:vAlign w:val="center"/>
          </w:tcPr>
          <w:p w14:paraId="1C92869F">
            <w:pPr>
              <w:keepNext w:val="0"/>
              <w:keepLines w:val="0"/>
              <w:widowControl/>
              <w:suppressLineNumbers w:val="0"/>
              <w:jc w:val="left"/>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根据项目过程中出现的需要协同的工作响应迅速、人员到位、系统优化支撑到位。配合很好得【9-10】分，配合较好得【5-8】分，配合一般得【3-4】分，配合较差得【0-2】分。</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0B048254">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1"/>
                <w:szCs w:val="21"/>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u w:val="none"/>
                <w:bdr w:val="none" w:color="auto" w:sz="0" w:space="0"/>
                <w:lang w:val="en-US" w:eastAsia="zh-CN" w:bidi="ar"/>
                <w14:textFill>
                  <w14:solidFill>
                    <w14:schemeClr w14:val="tx1"/>
                  </w14:solidFill>
                </w14:textFill>
              </w:rPr>
              <w:t>10</w:t>
            </w:r>
          </w:p>
        </w:tc>
      </w:tr>
    </w:tbl>
    <w:p w14:paraId="67CAE49B">
      <w:pPr>
        <w:numPr>
          <w:ilvl w:val="0"/>
          <w:numId w:val="1"/>
        </w:numPr>
        <w:spacing w:line="360" w:lineRule="auto"/>
        <w:ind w:firstLine="482" w:firstLineChars="200"/>
        <w:rPr>
          <w:rFonts w:hint="eastAsia" w:ascii="宋体" w:hAnsi="宋体" w:cs="宋体"/>
          <w:b/>
          <w:bCs/>
          <w:color w:val="333333"/>
          <w:kern w:val="0"/>
          <w:sz w:val="24"/>
          <w:lang w:val="en-US" w:eastAsia="zh-CN"/>
        </w:rPr>
      </w:pPr>
      <w:r>
        <w:rPr>
          <w:rFonts w:hint="eastAsia" w:ascii="宋体" w:hAnsi="宋体" w:cs="宋体"/>
          <w:b/>
          <w:bCs/>
          <w:color w:val="333333"/>
          <w:kern w:val="0"/>
          <w:sz w:val="24"/>
          <w:lang w:val="en-US" w:eastAsia="zh-CN"/>
        </w:rPr>
        <w:t>合作退出管理：</w:t>
      </w:r>
    </w:p>
    <w:p w14:paraId="3D92C30B">
      <w:pPr>
        <w:keepNext w:val="0"/>
        <w:keepLines w:val="0"/>
        <w:pageBreakBefore w:val="0"/>
        <w:widowControl w:val="0"/>
        <w:numPr>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333333"/>
          <w:kern w:val="0"/>
          <w:sz w:val="24"/>
          <w:lang w:val="en-US" w:eastAsia="zh-CN"/>
        </w:rPr>
      </w:pPr>
      <w:r>
        <w:rPr>
          <w:rFonts w:hint="eastAsia" w:ascii="宋体" w:hAnsi="宋体" w:cs="宋体"/>
          <w:color w:val="333333"/>
          <w:kern w:val="0"/>
          <w:sz w:val="24"/>
          <w:lang w:val="en-US" w:eastAsia="zh-CN"/>
        </w:rPr>
        <w:t>当合作伙伴考核不达标、出现违约，或出现重大的内容违法违规事故、重大的信息安全事故，或因法律要求冻结结算款、涉及法律纠纷等其他原因导致无法正常提供服务，我司将暂停合作。</w:t>
      </w:r>
    </w:p>
    <w:p w14:paraId="21A2D3F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cs="宋体"/>
          <w:b/>
          <w:bCs/>
          <w:color w:val="333333"/>
          <w:kern w:val="0"/>
          <w:sz w:val="24"/>
          <w:lang w:val="en-US" w:eastAsia="zh-CN"/>
        </w:rPr>
      </w:pPr>
      <w:r>
        <w:rPr>
          <w:rFonts w:hint="eastAsia" w:ascii="宋体" w:hAnsi="宋体" w:cs="宋体"/>
          <w:b/>
          <w:bCs/>
          <w:color w:val="333333"/>
          <w:kern w:val="0"/>
          <w:sz w:val="24"/>
          <w:lang w:val="en-US" w:eastAsia="zh-CN"/>
        </w:rPr>
        <w:t>结算规则：</w:t>
      </w:r>
    </w:p>
    <w:p w14:paraId="238F3D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1"/>
          <w:szCs w:val="21"/>
          <w:lang w:val="en-US" w:eastAsia="zh-CN"/>
        </w:rPr>
      </w:pPr>
      <w:r>
        <w:rPr>
          <w:rFonts w:hint="eastAsia" w:ascii="宋体" w:hAnsi="宋体" w:cs="宋体"/>
          <w:color w:val="333333"/>
          <w:kern w:val="0"/>
          <w:sz w:val="24"/>
          <w:lang w:val="en-US" w:eastAsia="zh-CN"/>
        </w:rPr>
        <w:t>仅当中移互联网有限公司（下称甲方）收到销售款项后，甲方可向乙方进行结算。如甲方未按期收到销售款项，甲方进行销售款项的追回，销售款项未追回前甲方不向乙方进行结算，甲乙双方各自承担相应风险。</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0757F49"/>
    <w:multiLevelType w:val="singleLevel"/>
    <w:tmpl w:val="70757F49"/>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41A30"/>
    <w:rsid w:val="119C4729"/>
    <w:rsid w:val="1F185A99"/>
    <w:rsid w:val="22DB7F53"/>
    <w:rsid w:val="274243CE"/>
    <w:rsid w:val="30DD69F4"/>
    <w:rsid w:val="510C32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Body Text Indent"/>
    <w:basedOn w:val="1"/>
    <w:unhideWhenUsed/>
    <w:qFormat/>
    <w:uiPriority w:val="99"/>
    <w:pPr>
      <w:spacing w:after="120"/>
      <w:ind w:left="420" w:leftChars="200"/>
    </w:pPr>
  </w:style>
  <w:style w:type="paragraph" w:styleId="4">
    <w:name w:val="Body Text First Indent 2"/>
    <w:basedOn w:val="3"/>
    <w:unhideWhenUsed/>
    <w:qFormat/>
    <w:uiPriority w:val="99"/>
    <w:pPr>
      <w:autoSpaceDE w:val="0"/>
      <w:autoSpaceDN w:val="0"/>
      <w:adjustRightInd w:val="0"/>
      <w:spacing w:line="360" w:lineRule="atLeast"/>
      <w:ind w:left="900" w:leftChars="0" w:firstLine="420" w:firstLineChars="200"/>
    </w:pPr>
    <w:rPr>
      <w:rFonts w:ascii="楷体_GB2312" w:eastAsia="楷体_GB2312"/>
      <w:kern w:val="0"/>
      <w:sz w:val="28"/>
      <w:szCs w:val="20"/>
    </w:rPr>
  </w:style>
  <w:style w:type="paragraph" w:customStyle="1" w:styleId="7">
    <w:name w:val="bt1bt1"/>
    <w:basedOn w:val="2"/>
    <w:qFormat/>
    <w:uiPriority w:val="0"/>
    <w:pPr>
      <w:spacing w:line="240" w:lineRule="auto"/>
      <w:jc w:val="center"/>
    </w:pPr>
    <w:rPr>
      <w:rFonts w:ascii="黑体" w:eastAsia="黑体"/>
      <w:b w:val="0"/>
      <w:sz w:val="36"/>
      <w:szCs w:val="36"/>
    </w:rPr>
  </w:style>
  <w:style w:type="character" w:customStyle="1" w:styleId="8">
    <w:name w:val="font11"/>
    <w:basedOn w:val="6"/>
    <w:uiPriority w:val="0"/>
    <w:rPr>
      <w:rFonts w:hint="eastAsia" w:ascii="微软雅黑" w:hAnsi="微软雅黑" w:eastAsia="微软雅黑" w:cs="微软雅黑"/>
      <w:b/>
      <w:bCs/>
      <w:color w:val="000000"/>
      <w:sz w:val="24"/>
      <w:szCs w:val="24"/>
      <w:u w:val="none"/>
    </w:rPr>
  </w:style>
  <w:style w:type="character" w:customStyle="1" w:styleId="9">
    <w:name w:val="font21"/>
    <w:basedOn w:val="6"/>
    <w:uiPriority w:val="0"/>
    <w:rPr>
      <w:rFonts w:hint="eastAsia" w:ascii="微软雅黑" w:hAnsi="微软雅黑" w:eastAsia="微软雅黑" w:cs="微软雅黑"/>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2025-10-21T10:56:31Z</dcterms:created>
  <dc:creator>19802</dc:creator>
  <cp:lastModifiedBy>JiA</cp:lastModifiedBy>
  <dcterms:modified xsi:type="dcterms:W3CDTF">2025-10-21T11:03:23Z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eyJoZGlkIjoiNzFjNTQ3YmMyOTFkMGUwNTRkMjdjNDkzZGJhYWFhYzEiLCJ1c2VySWQiOiIyNDc0NjI1NjYifQ==</vt:lpwstr>
  </property>
  <property fmtid="{D5CDD505-2E9C-101B-9397-08002B2CF9AE}" pid="4" name="ICV">
    <vt:lpwstr>177E2A475A32487D99F31B51AE4239E2_12</vt:lpwstr>
  </property>
</Properties>
</file>