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after="63" w:afterLines="20" w:line="240" w:lineRule="auto"/>
        <w:ind w:firstLine="0" w:firstLineChars="0"/>
        <w:jc w:val="center"/>
        <w:textAlignment w:val="auto"/>
        <w:rPr>
          <w:rFonts w:hint="eastAsia" w:ascii="仿宋" w:hAnsi="仿宋" w:eastAsia="仿宋" w:cs="仿宋"/>
          <w:b/>
          <w:bCs/>
          <w:sz w:val="22"/>
          <w:szCs w:val="28"/>
          <w:highlight w:val="none"/>
          <w:lang w:val="en-US" w:eastAsia="zh-CN"/>
        </w:rPr>
      </w:pPr>
      <w:r>
        <w:rPr>
          <w:rFonts w:hint="eastAsia" w:ascii="仿宋" w:hAnsi="仿宋" w:eastAsia="仿宋" w:cs="仿宋"/>
          <w:b/>
          <w:bCs/>
          <w:sz w:val="22"/>
          <w:szCs w:val="28"/>
          <w:highlight w:val="none"/>
          <w:lang w:val="en-US" w:eastAsia="zh-CN"/>
        </w:rPr>
        <w:t>合作伙伴风险排查承诺书</w:t>
      </w:r>
    </w:p>
    <w:p>
      <w:pPr>
        <w:spacing w:before="156" w:beforeLines="50" w:after="156" w:afterLines="50" w:line="360" w:lineRule="auto"/>
        <w:rPr>
          <w:rFonts w:ascii="仿宋_GB2312" w:eastAsia="仿宋_GB2312"/>
          <w:sz w:val="21"/>
          <w:szCs w:val="21"/>
          <w:highlight w:val="none"/>
        </w:rPr>
      </w:pPr>
      <w:r>
        <w:rPr>
          <w:rFonts w:hint="eastAsia" w:ascii="仿宋_GB2312" w:eastAsia="仿宋_GB2312"/>
          <w:sz w:val="22"/>
          <w:szCs w:val="22"/>
          <w:highlight w:val="none"/>
        </w:rPr>
        <w:t>致：</w:t>
      </w:r>
      <w:r>
        <w:rPr>
          <w:rFonts w:hint="eastAsia" w:ascii="仿宋_GB2312" w:eastAsia="仿宋_GB2312"/>
          <w:sz w:val="21"/>
          <w:szCs w:val="21"/>
          <w:highlight w:val="none"/>
        </w:rPr>
        <w:t>中移互联网有限公司</w:t>
      </w:r>
    </w:p>
    <w:p>
      <w:pPr>
        <w:keepNext w:val="0"/>
        <w:keepLines w:val="0"/>
        <w:pageBreakBefore w:val="0"/>
        <w:widowControl w:val="0"/>
        <w:numPr>
          <w:ilvl w:val="0"/>
          <w:numId w:val="0"/>
        </w:numPr>
        <w:kinsoku/>
        <w:wordWrap/>
        <w:overflowPunct/>
        <w:topLinePunct w:val="0"/>
        <w:autoSpaceDE/>
        <w:autoSpaceDN/>
        <w:bidi w:val="0"/>
        <w:adjustRightInd/>
        <w:snapToGrid/>
        <w:spacing w:after="63" w:afterLines="20" w:line="240" w:lineRule="auto"/>
        <w:ind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single"/>
        </w:rPr>
        <w:t xml:space="preserve">        </w:t>
      </w:r>
      <w:r>
        <w:rPr>
          <w:rFonts w:hint="eastAsia" w:ascii="仿宋_GB2312" w:hAnsi="仿宋_GB2312" w:eastAsia="仿宋_GB2312" w:cs="仿宋_GB2312"/>
          <w:szCs w:val="21"/>
          <w:highlight w:val="none"/>
          <w:u w:val="single"/>
          <w:lang w:val="en-US" w:eastAsia="zh-CN"/>
        </w:rPr>
        <w:t xml:space="preserve"> XXX    </w:t>
      </w:r>
      <w:r>
        <w:rPr>
          <w:rFonts w:hint="eastAsia" w:ascii="仿宋_GB2312" w:hAnsi="仿宋_GB2312" w:eastAsia="仿宋_GB2312" w:cs="仿宋_GB2312"/>
          <w:szCs w:val="21"/>
          <w:highlight w:val="none"/>
          <w:u w:val="none"/>
          <w:lang w:val="en-US" w:eastAsia="zh-CN"/>
        </w:rPr>
        <w:t>公司知悉贵司合作伙伴风险排查及合作伙伴负面行为规范内容，承诺在与贵司业务合作中不出现风险情况和负面行为，若出现以上情况和行为我司接受贵司的相关措施。</w:t>
      </w:r>
    </w:p>
    <w:p>
      <w:pPr>
        <w:keepNext w:val="0"/>
        <w:keepLines w:val="0"/>
        <w:pageBreakBefore w:val="0"/>
        <w:widowControl w:val="0"/>
        <w:numPr>
          <w:ilvl w:val="0"/>
          <w:numId w:val="0"/>
        </w:numPr>
        <w:kinsoku/>
        <w:wordWrap/>
        <w:overflowPunct/>
        <w:topLinePunct w:val="0"/>
        <w:autoSpaceDE/>
        <w:autoSpaceDN/>
        <w:bidi w:val="0"/>
        <w:adjustRightInd/>
        <w:snapToGrid/>
        <w:spacing w:after="63" w:afterLines="20" w:line="240" w:lineRule="auto"/>
        <w:ind w:firstLine="0" w:firstLineChars="0"/>
        <w:jc w:val="left"/>
        <w:textAlignment w:val="auto"/>
        <w:rPr>
          <w:rFonts w:hint="eastAsia" w:ascii="仿宋_GB2312" w:hAnsi="仿宋_GB2312" w:eastAsia="仿宋_GB2312" w:cs="仿宋_GB2312"/>
          <w:szCs w:val="21"/>
          <w:highlight w:val="none"/>
          <w:u w:val="none"/>
          <w:lang w:val="en-US"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after="63" w:afterLines="20" w:line="240" w:lineRule="auto"/>
        <w:ind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1.合作伙伴风险情况</w:t>
      </w:r>
    </w:p>
    <w:p>
      <w:pPr>
        <w:keepNext w:val="0"/>
        <w:keepLines w:val="0"/>
        <w:pageBreakBefore w:val="0"/>
        <w:widowControl w:val="0"/>
        <w:numPr>
          <w:ilvl w:val="-1"/>
          <w:numId w:val="0"/>
        </w:numPr>
        <w:kinsoku/>
        <w:wordWrap/>
        <w:overflowPunct/>
        <w:topLinePunct w:val="0"/>
        <w:autoSpaceDE/>
        <w:autoSpaceDN/>
        <w:bidi w:val="0"/>
        <w:adjustRightInd/>
        <w:snapToGrid/>
        <w:spacing w:after="63" w:afterLines="20" w:line="240" w:lineRule="auto"/>
        <w:ind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 xml:space="preserve">    若我司出现以下情况，接受贵司与我司终止</w:t>
      </w:r>
      <w:bookmarkStart w:id="0" w:name="_GoBack"/>
      <w:r>
        <w:rPr>
          <w:rFonts w:hint="eastAsia" w:ascii="仿宋_GB2312" w:hAnsi="仿宋_GB2312" w:eastAsia="仿宋_GB2312" w:cs="仿宋_GB2312"/>
          <w:szCs w:val="21"/>
          <w:highlight w:val="none"/>
          <w:u w:val="none"/>
          <w:lang w:val="en-US" w:eastAsia="zh-CN"/>
        </w:rPr>
        <w:t>该项目合作、项目能力库入库或同类项目甄选或标准化合作产品外部能力引入</w:t>
      </w:r>
      <w:r>
        <w:rPr>
          <w:rFonts w:hint="eastAsia" w:ascii="仿宋_GB2312" w:hAnsi="仿宋_GB2312" w:eastAsia="仿宋_GB2312" w:cs="仿宋_GB2312"/>
          <w:szCs w:val="21"/>
          <w:highlight w:val="none"/>
          <w:u w:val="none"/>
          <w:lang w:val="en-US" w:eastAsia="zh-CN"/>
        </w:rPr>
        <w:t>下暂停合作三年</w:t>
      </w:r>
      <w:bookmarkEnd w:id="0"/>
      <w:r>
        <w:rPr>
          <w:rFonts w:hint="eastAsia" w:ascii="仿宋_GB2312" w:hAnsi="仿宋_GB2312" w:eastAsia="仿宋_GB2312" w:cs="仿宋_GB2312"/>
          <w:szCs w:val="21"/>
          <w:highlight w:val="none"/>
          <w:u w:val="none"/>
          <w:lang w:val="en-US" w:eastAsia="zh-CN"/>
        </w:rPr>
        <w:t>等实施措施：</w:t>
      </w:r>
    </w:p>
    <w:p>
      <w:pPr>
        <w:keepNext w:val="0"/>
        <w:keepLines w:val="0"/>
        <w:pageBreakBefore w:val="0"/>
        <w:widowControl w:val="0"/>
        <w:numPr>
          <w:ilvl w:val="-1"/>
          <w:numId w:val="0"/>
        </w:numPr>
        <w:kinsoku/>
        <w:wordWrap/>
        <w:overflowPunct/>
        <w:topLinePunct w:val="0"/>
        <w:autoSpaceDE/>
        <w:autoSpaceDN/>
        <w:bidi w:val="0"/>
        <w:adjustRightInd/>
        <w:snapToGrid/>
        <w:spacing w:after="63" w:afterLines="20" w:line="240" w:lineRule="auto"/>
        <w:ind w:left="0" w:leftChars="0"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1.1与客户或其他合作伙伴有关联关系，如：</w:t>
      </w:r>
    </w:p>
    <w:p>
      <w:pPr>
        <w:keepNext w:val="0"/>
        <w:keepLines w:val="0"/>
        <w:pageBreakBefore w:val="0"/>
        <w:widowControl w:val="0"/>
        <w:numPr>
          <w:ilvl w:val="0"/>
          <w:numId w:val="1"/>
        </w:numPr>
        <w:kinsoku/>
        <w:wordWrap/>
        <w:overflowPunct/>
        <w:topLinePunct w:val="0"/>
        <w:autoSpaceDE/>
        <w:autoSpaceDN/>
        <w:bidi w:val="0"/>
        <w:adjustRightInd/>
        <w:snapToGrid/>
        <w:spacing w:after="63" w:afterLines="20" w:line="240" w:lineRule="auto"/>
        <w:ind w:left="845" w:hanging="425"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互为母公司、子公司、参股方、总公司、分支结构；</w:t>
      </w:r>
    </w:p>
    <w:p>
      <w:pPr>
        <w:keepNext w:val="0"/>
        <w:keepLines w:val="0"/>
        <w:pageBreakBefore w:val="0"/>
        <w:widowControl w:val="0"/>
        <w:numPr>
          <w:ilvl w:val="0"/>
          <w:numId w:val="1"/>
        </w:numPr>
        <w:kinsoku/>
        <w:wordWrap/>
        <w:overflowPunct/>
        <w:topLinePunct w:val="0"/>
        <w:autoSpaceDE/>
        <w:autoSpaceDN/>
        <w:bidi w:val="0"/>
        <w:adjustRightInd/>
        <w:snapToGrid/>
        <w:spacing w:after="63" w:afterLines="20" w:line="240" w:lineRule="auto"/>
        <w:ind w:left="845" w:hanging="425"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拥有相同的法定代表人、董监高、注册地址、联系电话或邮箱等。</w:t>
      </w:r>
    </w:p>
    <w:p>
      <w:pPr>
        <w:keepNext w:val="0"/>
        <w:keepLines w:val="0"/>
        <w:pageBreakBefore w:val="0"/>
        <w:widowControl w:val="0"/>
        <w:numPr>
          <w:ilvl w:val="-1"/>
          <w:numId w:val="0"/>
        </w:numPr>
        <w:kinsoku/>
        <w:wordWrap/>
        <w:overflowPunct/>
        <w:topLinePunct w:val="0"/>
        <w:autoSpaceDE/>
        <w:autoSpaceDN/>
        <w:bidi w:val="0"/>
        <w:adjustRightInd/>
        <w:snapToGrid/>
        <w:spacing w:after="63" w:afterLines="20" w:line="240" w:lineRule="auto"/>
        <w:ind w:left="0"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1.2存在经营风险，如：</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失信被执行人风险信息</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终本案件风险信息</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限制消费令风险信息（含企业、法人）</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该公司有注销备案、简易注销、清算信息等影响经营的风险信息</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被执行人风险信息</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严重违法风险信息</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因公示企业信息隐瞒真实情况、弄虚作假被列入企业经营异常名录</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有税收违法行为行政处罚</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有股权质押、土地抵押、司法拍卖等影响经营的风险信息</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因登记的住所或经营场所无法联系而被列入企业经营异常名录</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 xml:space="preserve">因未按规定提交年度报告信息而被列入企业经营异常名录 </w:t>
      </w:r>
    </w:p>
    <w:p>
      <w:pPr>
        <w:keepNext w:val="0"/>
        <w:keepLines w:val="0"/>
        <w:pageBreakBefore w:val="0"/>
        <w:widowControl w:val="0"/>
        <w:numPr>
          <w:ilvl w:val="0"/>
          <w:numId w:val="2"/>
        </w:numPr>
        <w:kinsoku/>
        <w:wordWrap/>
        <w:overflowPunct/>
        <w:topLinePunct w:val="0"/>
        <w:autoSpaceDE/>
        <w:autoSpaceDN/>
        <w:bidi w:val="0"/>
        <w:adjustRightInd/>
        <w:snapToGrid/>
        <w:spacing w:after="63" w:afterLines="20" w:line="240" w:lineRule="auto"/>
        <w:ind w:left="840" w:hanging="42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 xml:space="preserve">因未按照工商部门责令的期限公示有关企业信息被列入企业经营异常名录 </w:t>
      </w:r>
    </w:p>
    <w:p>
      <w:pPr>
        <w:keepNext w:val="0"/>
        <w:keepLines w:val="0"/>
        <w:pageBreakBefore w:val="0"/>
        <w:widowControl w:val="0"/>
        <w:numPr>
          <w:ilvl w:val="-1"/>
          <w:numId w:val="0"/>
        </w:numPr>
        <w:kinsoku/>
        <w:wordWrap/>
        <w:overflowPunct/>
        <w:topLinePunct w:val="0"/>
        <w:autoSpaceDE/>
        <w:autoSpaceDN/>
        <w:bidi w:val="0"/>
        <w:adjustRightInd/>
        <w:snapToGrid/>
        <w:spacing w:after="63" w:afterLines="20" w:line="240" w:lineRule="auto"/>
        <w:ind w:left="0"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1.3存在围标串标行为，如：</w:t>
      </w:r>
    </w:p>
    <w:p>
      <w:pPr>
        <w:keepNext w:val="0"/>
        <w:keepLines w:val="0"/>
        <w:pageBreakBefore w:val="0"/>
        <w:widowControl w:val="0"/>
        <w:numPr>
          <w:ilvl w:val="0"/>
          <w:numId w:val="3"/>
        </w:numPr>
        <w:kinsoku/>
        <w:wordWrap/>
        <w:overflowPunct/>
        <w:topLinePunct w:val="0"/>
        <w:autoSpaceDE/>
        <w:autoSpaceDN/>
        <w:bidi w:val="0"/>
        <w:adjustRightInd/>
        <w:snapToGrid/>
        <w:spacing w:after="63" w:afterLines="20" w:line="240" w:lineRule="auto"/>
        <w:ind w:left="845" w:hanging="425"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单位、单位法人或授权代表或联系人一致</w:t>
      </w:r>
    </w:p>
    <w:p>
      <w:pPr>
        <w:keepNext w:val="0"/>
        <w:keepLines w:val="0"/>
        <w:pageBreakBefore w:val="0"/>
        <w:widowControl w:val="0"/>
        <w:numPr>
          <w:ilvl w:val="0"/>
          <w:numId w:val="3"/>
        </w:numPr>
        <w:kinsoku/>
        <w:wordWrap/>
        <w:overflowPunct/>
        <w:topLinePunct w:val="0"/>
        <w:autoSpaceDE/>
        <w:autoSpaceDN/>
        <w:bidi w:val="0"/>
        <w:adjustRightInd/>
        <w:snapToGrid/>
        <w:spacing w:after="63" w:afterLines="20" w:line="240" w:lineRule="auto"/>
        <w:ind w:left="845" w:hanging="425"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应答文件存在最后修改人相同或最后修改时间相近</w:t>
      </w:r>
    </w:p>
    <w:p>
      <w:pPr>
        <w:keepNext w:val="0"/>
        <w:keepLines w:val="0"/>
        <w:pageBreakBefore w:val="0"/>
        <w:widowControl w:val="0"/>
        <w:numPr>
          <w:ilvl w:val="0"/>
          <w:numId w:val="3"/>
        </w:numPr>
        <w:kinsoku/>
        <w:wordWrap/>
        <w:overflowPunct/>
        <w:topLinePunct w:val="0"/>
        <w:autoSpaceDE/>
        <w:autoSpaceDN/>
        <w:bidi w:val="0"/>
        <w:adjustRightInd/>
        <w:snapToGrid/>
        <w:spacing w:after="63" w:afterLines="20" w:line="240" w:lineRule="auto"/>
        <w:ind w:left="845" w:hanging="425"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技术文件、商务文件相似度较大。</w:t>
      </w:r>
    </w:p>
    <w:p>
      <w:pPr>
        <w:keepNext w:val="0"/>
        <w:keepLines w:val="0"/>
        <w:pageBreakBefore w:val="0"/>
        <w:widowControl w:val="0"/>
        <w:numPr>
          <w:ilvl w:val="0"/>
          <w:numId w:val="3"/>
        </w:numPr>
        <w:kinsoku/>
        <w:wordWrap/>
        <w:overflowPunct/>
        <w:topLinePunct w:val="0"/>
        <w:autoSpaceDE/>
        <w:autoSpaceDN/>
        <w:bidi w:val="0"/>
        <w:adjustRightInd/>
        <w:snapToGrid/>
        <w:spacing w:after="63" w:afterLines="20" w:line="240" w:lineRule="auto"/>
        <w:ind w:left="845" w:hanging="425"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应答报价呈规律性差异</w:t>
      </w:r>
    </w:p>
    <w:p>
      <w:pPr>
        <w:keepNext w:val="0"/>
        <w:keepLines w:val="0"/>
        <w:pageBreakBefore w:val="0"/>
        <w:widowControl w:val="0"/>
        <w:numPr>
          <w:ilvl w:val="-1"/>
          <w:numId w:val="0"/>
        </w:numPr>
        <w:kinsoku/>
        <w:wordWrap/>
        <w:overflowPunct/>
        <w:topLinePunct w:val="0"/>
        <w:autoSpaceDE/>
        <w:autoSpaceDN/>
        <w:bidi w:val="0"/>
        <w:adjustRightInd/>
        <w:snapToGrid/>
        <w:spacing w:after="63" w:afterLines="20" w:line="240" w:lineRule="auto"/>
        <w:ind w:firstLine="0" w:firstLineChars="0"/>
        <w:jc w:val="left"/>
        <w:textAlignment w:val="auto"/>
        <w:rPr>
          <w:rFonts w:hint="eastAsia" w:ascii="仿宋_GB2312" w:hAnsi="仿宋_GB2312" w:eastAsia="仿宋_GB2312" w:cs="仿宋_GB2312"/>
          <w:szCs w:val="21"/>
          <w:highlight w:val="none"/>
          <w:u w:val="none"/>
          <w:lang w:val="en-US" w:eastAsia="zh-CN"/>
        </w:rPr>
      </w:pPr>
      <w:r>
        <w:rPr>
          <w:rFonts w:hint="eastAsia" w:ascii="仿宋_GB2312" w:hAnsi="仿宋_GB2312" w:eastAsia="仿宋_GB2312" w:cs="仿宋_GB2312"/>
          <w:szCs w:val="21"/>
          <w:highlight w:val="none"/>
          <w:u w:val="none"/>
          <w:lang w:val="en-US" w:eastAsia="zh-CN"/>
        </w:rPr>
        <w:t>2.合作伙伴负面行为后评价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4850"/>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444" w:type="dxa"/>
            <w:noWrap w:val="0"/>
            <w:vAlign w:val="top"/>
          </w:tcPr>
          <w:p>
            <w:pPr>
              <w:topLinePunct/>
              <w:snapToGrid w:val="0"/>
              <w:spacing w:line="360" w:lineRule="auto"/>
              <w:jc w:val="center"/>
              <w:rPr>
                <w:rFonts w:hint="eastAsia" w:ascii="仿宋_GB2312" w:hAnsi="仿宋_GB2312" w:eastAsia="仿宋_GB2312" w:cs="仿宋_GB2312"/>
                <w:b/>
                <w:bCs w:val="0"/>
                <w:szCs w:val="21"/>
                <w:highlight w:val="none"/>
                <w:lang w:eastAsia="zh-CN"/>
              </w:rPr>
            </w:pPr>
            <w:r>
              <w:rPr>
                <w:rFonts w:hint="eastAsia" w:ascii="仿宋_GB2312" w:hAnsi="仿宋_GB2312" w:eastAsia="仿宋_GB2312" w:cs="仿宋_GB2312"/>
                <w:b/>
                <w:bCs w:val="0"/>
                <w:szCs w:val="21"/>
                <w:highlight w:val="none"/>
                <w:lang w:eastAsia="zh-CN"/>
              </w:rPr>
              <w:t>阶段</w:t>
            </w:r>
          </w:p>
        </w:tc>
        <w:tc>
          <w:tcPr>
            <w:tcW w:w="4850" w:type="dxa"/>
            <w:noWrap w:val="0"/>
            <w:vAlign w:val="top"/>
          </w:tcPr>
          <w:p>
            <w:pPr>
              <w:topLinePunct/>
              <w:snapToGrid w:val="0"/>
              <w:spacing w:line="360" w:lineRule="auto"/>
              <w:ind w:firstLine="422" w:firstLineChars="200"/>
              <w:jc w:val="center"/>
              <w:rPr>
                <w:rFonts w:hint="eastAsia" w:ascii="仿宋_GB2312" w:hAnsi="仿宋_GB2312" w:eastAsia="仿宋_GB2312" w:cs="仿宋_GB2312"/>
                <w:b/>
                <w:bCs w:val="0"/>
                <w:szCs w:val="21"/>
                <w:highlight w:val="none"/>
                <w:lang w:eastAsia="zh-CN"/>
              </w:rPr>
            </w:pPr>
            <w:r>
              <w:rPr>
                <w:rFonts w:hint="eastAsia" w:ascii="仿宋_GB2312" w:hAnsi="仿宋_GB2312" w:eastAsia="仿宋_GB2312" w:cs="仿宋_GB2312"/>
                <w:b/>
                <w:bCs w:val="0"/>
                <w:szCs w:val="21"/>
                <w:highlight w:val="none"/>
                <w:lang w:eastAsia="zh-CN"/>
              </w:rPr>
              <w:t>负面行为</w:t>
            </w:r>
          </w:p>
        </w:tc>
        <w:tc>
          <w:tcPr>
            <w:tcW w:w="2227" w:type="dxa"/>
            <w:noWrap w:val="0"/>
            <w:vAlign w:val="top"/>
          </w:tcPr>
          <w:p>
            <w:pPr>
              <w:topLinePunct/>
              <w:snapToGrid w:val="0"/>
              <w:spacing w:line="360" w:lineRule="auto"/>
              <w:ind w:firstLine="422" w:firstLineChars="200"/>
              <w:jc w:val="center"/>
              <w:rPr>
                <w:rFonts w:hint="eastAsia" w:ascii="仿宋_GB2312" w:hAnsi="仿宋_GB2312" w:eastAsia="仿宋_GB2312" w:cs="仿宋_GB2312"/>
                <w:b/>
                <w:bCs w:val="0"/>
                <w:szCs w:val="21"/>
                <w:highlight w:val="none"/>
                <w:lang w:eastAsia="zh-CN"/>
              </w:rPr>
            </w:pPr>
            <w:r>
              <w:rPr>
                <w:rFonts w:hint="eastAsia" w:ascii="仿宋_GB2312" w:hAnsi="仿宋_GB2312" w:eastAsia="仿宋_GB2312" w:cs="仿宋_GB2312"/>
                <w:b/>
                <w:bCs w:val="0"/>
                <w:szCs w:val="21"/>
                <w:highlight w:val="none"/>
                <w:lang w:eastAsia="zh-CN"/>
              </w:rPr>
              <w:t>实施措施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noWrap w:val="0"/>
            <w:vAlign w:val="top"/>
          </w:tcPr>
          <w:p>
            <w:pPr>
              <w:topLinePunct/>
              <w:snapToGrid w:val="0"/>
              <w:spacing w:line="360" w:lineRule="auto"/>
              <w:jc w:val="both"/>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全阶段</w:t>
            </w:r>
          </w:p>
        </w:tc>
        <w:tc>
          <w:tcPr>
            <w:tcW w:w="4850" w:type="dxa"/>
            <w:noWrap w:val="0"/>
            <w:vAlign w:val="top"/>
          </w:tcPr>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向中移互联网有限公司相关人员行贿或违法违规提供不正当利益的行为</w:t>
            </w:r>
          </w:p>
        </w:tc>
        <w:tc>
          <w:tcPr>
            <w:tcW w:w="2227" w:type="dxa"/>
            <w:vMerge w:val="restart"/>
            <w:noWrap w:val="0"/>
            <w:vAlign w:val="top"/>
          </w:tcPr>
          <w:p>
            <w:pPr>
              <w:topLinePunct/>
              <w:snapToGrid w:val="0"/>
              <w:spacing w:line="360" w:lineRule="auto"/>
              <w:jc w:val="both"/>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在入库或同类项目甄选或标准化合作产品外部能力引入的情况下暂停合作三年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vMerge w:val="restart"/>
            <w:noWrap w:val="0"/>
            <w:vAlign w:val="top"/>
          </w:tcPr>
          <w:p>
            <w:pPr>
              <w:topLinePunct/>
              <w:snapToGrid w:val="0"/>
              <w:spacing w:line="360" w:lineRule="auto"/>
              <w:jc w:val="center"/>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招募、甄选及引入等阶段</w:t>
            </w:r>
          </w:p>
        </w:tc>
        <w:tc>
          <w:tcPr>
            <w:tcW w:w="4850" w:type="dxa"/>
            <w:noWrap w:val="0"/>
            <w:vAlign w:val="top"/>
          </w:tcPr>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参加项目招募、甄选及引入期间，提供虚假资质或业绩证明材料或其他弄虚作假行为</w:t>
            </w:r>
          </w:p>
        </w:tc>
        <w:tc>
          <w:tcPr>
            <w:tcW w:w="2227" w:type="dxa"/>
            <w:vMerge w:val="continue"/>
            <w:noWrap w:val="0"/>
            <w:vAlign w:val="top"/>
          </w:tcPr>
          <w:p>
            <w:pPr>
              <w:topLinePunct/>
              <w:snapToGrid w:val="0"/>
              <w:spacing w:line="360" w:lineRule="auto"/>
              <w:ind w:firstLine="420" w:firstLineChars="200"/>
              <w:jc w:val="center"/>
              <w:rPr>
                <w:rFonts w:hint="eastAsia" w:ascii="仿宋_GB2312" w:hAnsi="仿宋_GB2312" w:eastAsia="仿宋_GB2312" w:cs="仿宋_GB2312"/>
                <w:bCs/>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vMerge w:val="continue"/>
            <w:noWrap w:val="0"/>
            <w:vAlign w:val="top"/>
          </w:tcPr>
          <w:p>
            <w:pPr>
              <w:topLinePunct/>
              <w:snapToGrid w:val="0"/>
              <w:spacing w:line="360" w:lineRule="auto"/>
              <w:ind w:firstLine="420" w:firstLineChars="200"/>
              <w:jc w:val="center"/>
              <w:rPr>
                <w:rFonts w:hint="eastAsia" w:ascii="仿宋_GB2312" w:hAnsi="仿宋_GB2312" w:eastAsia="仿宋_GB2312" w:cs="仿宋_GB2312"/>
                <w:bCs/>
                <w:szCs w:val="21"/>
                <w:highlight w:val="none"/>
                <w:lang w:eastAsia="zh-CN"/>
              </w:rPr>
            </w:pPr>
          </w:p>
        </w:tc>
        <w:tc>
          <w:tcPr>
            <w:tcW w:w="4850" w:type="dxa"/>
            <w:noWrap w:val="0"/>
            <w:vAlign w:val="top"/>
          </w:tcPr>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采用串通等不正当手段谋取入库或项目中选、诋毁排挤其他合作伙伴或与检测单位串通伪造检测结果的行为</w:t>
            </w:r>
          </w:p>
        </w:tc>
        <w:tc>
          <w:tcPr>
            <w:tcW w:w="2227" w:type="dxa"/>
            <w:vMerge w:val="continue"/>
            <w:noWrap w:val="0"/>
            <w:vAlign w:val="top"/>
          </w:tcPr>
          <w:p>
            <w:pPr>
              <w:topLinePunct/>
              <w:snapToGrid w:val="0"/>
              <w:spacing w:line="360" w:lineRule="auto"/>
              <w:ind w:firstLine="420" w:firstLineChars="200"/>
              <w:jc w:val="center"/>
              <w:rPr>
                <w:rFonts w:hint="eastAsia" w:ascii="仿宋_GB2312" w:hAnsi="仿宋_GB2312" w:eastAsia="仿宋_GB2312" w:cs="仿宋_GB2312"/>
                <w:bCs/>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vMerge w:val="continue"/>
            <w:noWrap w:val="0"/>
            <w:vAlign w:val="top"/>
          </w:tcPr>
          <w:p>
            <w:pPr>
              <w:topLinePunct/>
              <w:snapToGrid w:val="0"/>
              <w:spacing w:line="360" w:lineRule="auto"/>
              <w:ind w:firstLine="420" w:firstLineChars="200"/>
              <w:jc w:val="center"/>
              <w:rPr>
                <w:rFonts w:hint="eastAsia" w:ascii="仿宋_GB2312" w:hAnsi="仿宋_GB2312" w:eastAsia="仿宋_GB2312" w:cs="仿宋_GB2312"/>
                <w:bCs/>
                <w:szCs w:val="21"/>
                <w:highlight w:val="none"/>
                <w:lang w:eastAsia="zh-CN"/>
              </w:rPr>
            </w:pPr>
          </w:p>
        </w:tc>
        <w:tc>
          <w:tcPr>
            <w:tcW w:w="4850" w:type="dxa"/>
            <w:noWrap w:val="0"/>
            <w:vAlign w:val="top"/>
          </w:tcPr>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不按项目甄选文件、引入文件及应答文件承诺签订合同或框架协议的，包括但不限于已中选的合作伙伴，在发布中选结果之日后自愿放弃中选资格或拒绝签订合同文件的行为</w:t>
            </w:r>
          </w:p>
        </w:tc>
        <w:tc>
          <w:tcPr>
            <w:tcW w:w="2227" w:type="dxa"/>
            <w:vMerge w:val="continue"/>
            <w:noWrap w:val="0"/>
            <w:vAlign w:val="top"/>
          </w:tcPr>
          <w:p>
            <w:pPr>
              <w:topLinePunct/>
              <w:snapToGrid w:val="0"/>
              <w:spacing w:line="360" w:lineRule="auto"/>
              <w:ind w:firstLine="420" w:firstLineChars="200"/>
              <w:jc w:val="center"/>
              <w:rPr>
                <w:rFonts w:hint="eastAsia" w:ascii="仿宋_GB2312" w:hAnsi="仿宋_GB2312" w:eastAsia="仿宋_GB2312" w:cs="仿宋_GB2312"/>
                <w:bCs/>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trPr>
        <w:tc>
          <w:tcPr>
            <w:tcW w:w="1444" w:type="dxa"/>
            <w:noWrap w:val="0"/>
            <w:vAlign w:val="top"/>
          </w:tcPr>
          <w:p>
            <w:pPr>
              <w:topLinePunct/>
              <w:snapToGrid w:val="0"/>
              <w:spacing w:line="360" w:lineRule="auto"/>
              <w:jc w:val="both"/>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全阶段</w:t>
            </w:r>
          </w:p>
        </w:tc>
        <w:tc>
          <w:tcPr>
            <w:tcW w:w="4850" w:type="dxa"/>
            <w:noWrap w:val="0"/>
            <w:vAlign w:val="top"/>
          </w:tcPr>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合作伙伴人员或其他相关人员实施行贿或提供不正当利益的行为</w:t>
            </w:r>
          </w:p>
        </w:tc>
        <w:tc>
          <w:tcPr>
            <w:tcW w:w="2227" w:type="dxa"/>
            <w:noWrap w:val="0"/>
            <w:vAlign w:val="top"/>
          </w:tcPr>
          <w:p>
            <w:pPr>
              <w:topLinePunct/>
              <w:snapToGrid w:val="0"/>
              <w:spacing w:line="360" w:lineRule="auto"/>
              <w:jc w:val="both"/>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行贿人员不得代表任何合作伙伴参与中移互联网有限公司的招募、甄选及引入活动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noWrap w:val="0"/>
            <w:vAlign w:val="top"/>
          </w:tcPr>
          <w:p>
            <w:pPr>
              <w:topLinePunct/>
              <w:snapToGrid w:val="0"/>
              <w:spacing w:line="360" w:lineRule="auto"/>
              <w:jc w:val="both"/>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履约阶段</w:t>
            </w:r>
          </w:p>
        </w:tc>
        <w:tc>
          <w:tcPr>
            <w:tcW w:w="4850" w:type="dxa"/>
            <w:noWrap w:val="0"/>
            <w:vAlign w:val="top"/>
          </w:tcPr>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在项目售中售后等履约阶段，未按合同规定进行交付和服务、无效解决中移互联网有限公司客户投诉、或其他负面的行为</w:t>
            </w:r>
          </w:p>
          <w:p>
            <w:pPr>
              <w:topLinePunct/>
              <w:snapToGrid w:val="0"/>
              <w:spacing w:line="360" w:lineRule="auto"/>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包括但不仅限于以下内容：</w:t>
            </w:r>
          </w:p>
          <w:p>
            <w:pPr>
              <w:topLinePunct/>
              <w:snapToGrid w:val="0"/>
              <w:spacing w:line="360" w:lineRule="auto"/>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val="en-US" w:eastAsia="zh-CN"/>
              </w:rPr>
              <w:t>1、</w:t>
            </w:r>
            <w:r>
              <w:rPr>
                <w:rFonts w:hint="eastAsia" w:ascii="仿宋_GB2312" w:hAnsi="仿宋_GB2312" w:eastAsia="仿宋_GB2312" w:cs="仿宋_GB2312"/>
                <w:bCs/>
                <w:szCs w:val="21"/>
                <w:highlight w:val="none"/>
              </w:rPr>
              <w:t>售中部分：</w:t>
            </w:r>
          </w:p>
          <w:p>
            <w:pPr>
              <w:topLinePunct/>
              <w:snapToGrid w:val="0"/>
              <w:spacing w:line="360" w:lineRule="auto"/>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rPr>
              <w:t>（1）交付时效性不</w:t>
            </w:r>
            <w:r>
              <w:rPr>
                <w:rFonts w:hint="eastAsia" w:ascii="仿宋_GB2312" w:hAnsi="仿宋_GB2312" w:eastAsia="仿宋_GB2312" w:cs="仿宋_GB2312"/>
                <w:bCs/>
                <w:szCs w:val="21"/>
                <w:highlight w:val="none"/>
                <w:lang w:val="en-US" w:eastAsia="zh-CN"/>
              </w:rPr>
              <w:t>达标</w:t>
            </w:r>
          </w:p>
          <w:p>
            <w:pPr>
              <w:topLinePunct/>
              <w:snapToGrid w:val="0"/>
              <w:spacing w:line="360" w:lineRule="auto"/>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rPr>
              <w:t>（2）交付</w:t>
            </w:r>
            <w:r>
              <w:rPr>
                <w:rFonts w:hint="eastAsia" w:ascii="仿宋_GB2312" w:hAnsi="仿宋_GB2312" w:eastAsia="仿宋_GB2312" w:cs="仿宋_GB2312"/>
                <w:bCs/>
                <w:szCs w:val="21"/>
                <w:highlight w:val="none"/>
                <w:lang w:val="en-US" w:eastAsia="zh-CN"/>
              </w:rPr>
              <w:t>质量不达标</w:t>
            </w:r>
          </w:p>
          <w:p>
            <w:pPr>
              <w:topLinePunct/>
              <w:snapToGrid w:val="0"/>
              <w:spacing w:line="360" w:lineRule="auto"/>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2、售后部分：</w:t>
            </w:r>
          </w:p>
          <w:p>
            <w:pPr>
              <w:topLinePunct/>
              <w:snapToGrid w:val="0"/>
              <w:spacing w:line="360" w:lineRule="auto"/>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rPr>
              <w:t>（1）投诉解决无效</w:t>
            </w:r>
          </w:p>
          <w:p>
            <w:pPr>
              <w:topLinePunct/>
              <w:snapToGrid w:val="0"/>
              <w:spacing w:line="360" w:lineRule="auto"/>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（2）重大/严重故障解决延迟</w:t>
            </w:r>
          </w:p>
          <w:p>
            <w:pPr>
              <w:topLinePunct/>
              <w:snapToGrid w:val="0"/>
              <w:spacing w:line="360" w:lineRule="auto"/>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（3）重大/严重故障处理不规范</w:t>
            </w:r>
          </w:p>
          <w:p>
            <w:pPr>
              <w:topLinePunct/>
              <w:snapToGrid w:val="0"/>
              <w:spacing w:line="360" w:lineRule="auto"/>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3、其他负面行为</w:t>
            </w:r>
          </w:p>
        </w:tc>
        <w:tc>
          <w:tcPr>
            <w:tcW w:w="2227" w:type="dxa"/>
            <w:noWrap w:val="0"/>
            <w:vAlign w:val="top"/>
          </w:tcPr>
          <w:p>
            <w:pPr>
              <w:topLinePunct/>
              <w:snapToGrid w:val="0"/>
              <w:spacing w:line="360" w:lineRule="auto"/>
              <w:jc w:val="both"/>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eastAsia="zh-CN"/>
              </w:rPr>
              <w:t>在合作伙伴后续报名同类项目甄选或标准化合作产品外部能力引入时实施扣分</w:t>
            </w:r>
          </w:p>
        </w:tc>
      </w:tr>
    </w:tbl>
    <w:p>
      <w:pPr>
        <w:topLinePunct/>
        <w:snapToGrid w:val="0"/>
        <w:spacing w:line="360" w:lineRule="auto"/>
        <w:ind w:firstLine="420" w:firstLineChars="200"/>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补充说明：履约阶段负面行为扣分实施措施</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履约阶段负面行为扣分采取同类项目叠加方式，同类项目下同一合作伙伴在各个项目的扣分分数将被加总，加总分数为该合作伙伴在该类项目下的扣分总数（百分制），扣完为止。</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eastAsia="zh-CN"/>
        </w:rPr>
        <w:t>在评审会前，将梳理明确报名合作伙伴在项目公告之日往前两年的同类项目下的扣分总数，实施扣分。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eastAsia="zh-CN"/>
        </w:rPr>
        <w:t>（一）</w:t>
      </w:r>
      <w:r>
        <w:rPr>
          <w:rFonts w:hint="eastAsia" w:ascii="仿宋_GB2312" w:hAnsi="仿宋_GB2312" w:eastAsia="仿宋_GB2312" w:cs="仿宋_GB2312"/>
          <w:bCs/>
          <w:szCs w:val="21"/>
          <w:highlight w:val="none"/>
        </w:rPr>
        <w:t>售中部分：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val="en-US" w:eastAsia="zh-CN"/>
        </w:rPr>
        <w:t>1.</w:t>
      </w:r>
      <w:r>
        <w:rPr>
          <w:rFonts w:hint="eastAsia" w:ascii="仿宋_GB2312" w:hAnsi="仿宋_GB2312" w:eastAsia="仿宋_GB2312" w:cs="仿宋_GB2312"/>
          <w:bCs/>
          <w:szCs w:val="21"/>
          <w:highlight w:val="none"/>
        </w:rPr>
        <w:t>交付时效性不</w:t>
      </w:r>
      <w:r>
        <w:rPr>
          <w:rFonts w:hint="eastAsia" w:ascii="仿宋_GB2312" w:hAnsi="仿宋_GB2312" w:eastAsia="仿宋_GB2312" w:cs="仿宋_GB2312"/>
          <w:bCs/>
          <w:szCs w:val="21"/>
          <w:highlight w:val="none"/>
          <w:lang w:val="en-US" w:eastAsia="zh-CN"/>
        </w:rPr>
        <w:t>达标</w:t>
      </w:r>
      <w:r>
        <w:rPr>
          <w:rFonts w:hint="eastAsia" w:ascii="仿宋_GB2312" w:hAnsi="仿宋_GB2312" w:eastAsia="仿宋_GB2312" w:cs="仿宋_GB2312"/>
          <w:bCs/>
          <w:szCs w:val="21"/>
          <w:highlight w:val="none"/>
        </w:rPr>
        <w:t>：未按照合同规定的时间进行各项交付工作（包括发货、到货、部署、验收等）。</w:t>
      </w:r>
    </w:p>
    <w:p>
      <w:pPr>
        <w:topLinePunct/>
        <w:snapToGrid w:val="0"/>
        <w:spacing w:line="360" w:lineRule="auto"/>
        <w:ind w:firstLine="420" w:firstLineChars="20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val="en-US" w:eastAsia="zh-CN"/>
        </w:rPr>
        <w:t>扣分方式：如出现里程碑任务延迟情况，</w:t>
      </w:r>
      <w:r>
        <w:rPr>
          <w:rFonts w:hint="eastAsia" w:ascii="仿宋_GB2312" w:hAnsi="仿宋_GB2312" w:eastAsia="仿宋_GB2312" w:cs="仿宋_GB2312"/>
          <w:bCs/>
          <w:szCs w:val="21"/>
          <w:highlight w:val="none"/>
        </w:rPr>
        <w:t>每延迟</w:t>
      </w:r>
      <w:r>
        <w:rPr>
          <w:rFonts w:hint="eastAsia" w:ascii="仿宋_GB2312" w:hAnsi="仿宋_GB2312" w:eastAsia="仿宋_GB2312" w:cs="仿宋_GB2312"/>
          <w:bCs/>
          <w:szCs w:val="21"/>
          <w:highlight w:val="none"/>
          <w:lang w:val="en-US" w:eastAsia="zh-CN"/>
        </w:rPr>
        <w:t>1</w:t>
      </w:r>
      <w:r>
        <w:rPr>
          <w:rFonts w:hint="eastAsia" w:ascii="仿宋_GB2312" w:hAnsi="仿宋_GB2312" w:eastAsia="仿宋_GB2312" w:cs="仿宋_GB2312"/>
          <w:bCs/>
          <w:szCs w:val="21"/>
          <w:highlight w:val="none"/>
        </w:rPr>
        <w:t>天扣</w:t>
      </w:r>
      <w:r>
        <w:rPr>
          <w:rFonts w:hint="eastAsia" w:ascii="仿宋_GB2312" w:hAnsi="仿宋_GB2312" w:eastAsia="仿宋_GB2312" w:cs="仿宋_GB2312"/>
          <w:bCs/>
          <w:szCs w:val="21"/>
          <w:highlight w:val="none"/>
          <w:lang w:val="en-US" w:eastAsia="zh-CN"/>
        </w:rPr>
        <w:t>1</w:t>
      </w:r>
      <w:r>
        <w:rPr>
          <w:rFonts w:hint="eastAsia" w:ascii="仿宋_GB2312" w:hAnsi="仿宋_GB2312" w:eastAsia="仿宋_GB2312" w:cs="仿宋_GB2312"/>
          <w:bCs/>
          <w:szCs w:val="21"/>
          <w:highlight w:val="none"/>
        </w:rPr>
        <w:t>分，最高扣</w:t>
      </w:r>
      <w:r>
        <w:rPr>
          <w:rFonts w:hint="eastAsia" w:ascii="仿宋_GB2312" w:hAnsi="仿宋_GB2312" w:eastAsia="仿宋_GB2312" w:cs="仿宋_GB2312"/>
          <w:bCs/>
          <w:szCs w:val="21"/>
          <w:highlight w:val="none"/>
          <w:lang w:val="en-US" w:eastAsia="zh-CN"/>
        </w:rPr>
        <w:t>5</w:t>
      </w:r>
      <w:r>
        <w:rPr>
          <w:rFonts w:hint="eastAsia" w:ascii="仿宋_GB2312" w:hAnsi="仿宋_GB2312" w:eastAsia="仿宋_GB2312" w:cs="仿宋_GB2312"/>
          <w:bCs/>
          <w:szCs w:val="21"/>
          <w:highlight w:val="none"/>
        </w:rPr>
        <w:t>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val="en-US" w:eastAsia="zh-CN"/>
        </w:rPr>
        <w:t>2.</w:t>
      </w:r>
      <w:r>
        <w:rPr>
          <w:rFonts w:hint="eastAsia" w:ascii="仿宋_GB2312" w:hAnsi="仿宋_GB2312" w:eastAsia="仿宋_GB2312" w:cs="仿宋_GB2312"/>
          <w:bCs/>
          <w:szCs w:val="21"/>
          <w:highlight w:val="none"/>
        </w:rPr>
        <w:t>交付</w:t>
      </w:r>
      <w:r>
        <w:rPr>
          <w:rFonts w:hint="eastAsia" w:ascii="仿宋_GB2312" w:hAnsi="仿宋_GB2312" w:eastAsia="仿宋_GB2312" w:cs="仿宋_GB2312"/>
          <w:bCs/>
          <w:szCs w:val="21"/>
          <w:highlight w:val="none"/>
          <w:lang w:val="en-US" w:eastAsia="zh-CN"/>
        </w:rPr>
        <w:t>质量不达标</w:t>
      </w:r>
      <w:r>
        <w:rPr>
          <w:rFonts w:hint="eastAsia" w:ascii="仿宋_GB2312" w:hAnsi="仿宋_GB2312" w:eastAsia="仿宋_GB2312" w:cs="仿宋_GB2312"/>
          <w:bCs/>
          <w:szCs w:val="21"/>
          <w:highlight w:val="none"/>
        </w:rPr>
        <w:t>：交付内容不符合合同规定要求，各项功能/性能达不到合同约定要求。</w:t>
      </w:r>
    </w:p>
    <w:p>
      <w:pPr>
        <w:topLinePunct/>
        <w:snapToGrid w:val="0"/>
        <w:spacing w:line="360" w:lineRule="auto"/>
        <w:ind w:firstLine="420" w:firstLineChars="20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val="en-US" w:eastAsia="zh-CN"/>
        </w:rPr>
        <w:t>扣分方式：</w:t>
      </w:r>
      <w:r>
        <w:rPr>
          <w:rFonts w:hint="eastAsia" w:ascii="仿宋_GB2312" w:hAnsi="仿宋_GB2312" w:eastAsia="仿宋_GB2312" w:cs="仿宋_GB2312"/>
          <w:bCs/>
          <w:szCs w:val="21"/>
          <w:highlight w:val="none"/>
        </w:rPr>
        <w:t>每发生1项功能</w:t>
      </w:r>
      <w:r>
        <w:rPr>
          <w:rFonts w:hint="eastAsia" w:ascii="仿宋_GB2312" w:hAnsi="仿宋_GB2312" w:eastAsia="仿宋_GB2312" w:cs="仿宋_GB2312"/>
          <w:bCs/>
          <w:szCs w:val="21"/>
          <w:highlight w:val="none"/>
          <w:lang w:val="en-US" w:eastAsia="zh-CN"/>
        </w:rPr>
        <w:t>点</w:t>
      </w:r>
      <w:r>
        <w:rPr>
          <w:rFonts w:hint="eastAsia" w:ascii="仿宋_GB2312" w:hAnsi="仿宋_GB2312" w:eastAsia="仿宋_GB2312" w:cs="仿宋_GB2312"/>
          <w:bCs/>
          <w:szCs w:val="21"/>
          <w:highlight w:val="none"/>
        </w:rPr>
        <w:t>/性能</w:t>
      </w:r>
      <w:r>
        <w:rPr>
          <w:rFonts w:hint="eastAsia" w:ascii="仿宋_GB2312" w:hAnsi="仿宋_GB2312" w:eastAsia="仿宋_GB2312" w:cs="仿宋_GB2312"/>
          <w:bCs/>
          <w:szCs w:val="21"/>
          <w:highlight w:val="none"/>
          <w:lang w:val="en-US" w:eastAsia="zh-CN"/>
        </w:rPr>
        <w:t>点</w:t>
      </w:r>
      <w:r>
        <w:rPr>
          <w:rFonts w:hint="eastAsia" w:ascii="仿宋_GB2312" w:hAnsi="仿宋_GB2312" w:eastAsia="仿宋_GB2312" w:cs="仿宋_GB2312"/>
          <w:bCs/>
          <w:szCs w:val="21"/>
          <w:highlight w:val="none"/>
        </w:rPr>
        <w:t>不符合要求，扣1分，最高扣</w:t>
      </w:r>
      <w:r>
        <w:rPr>
          <w:rFonts w:hint="eastAsia" w:ascii="仿宋_GB2312" w:hAnsi="仿宋_GB2312" w:eastAsia="仿宋_GB2312" w:cs="仿宋_GB2312"/>
          <w:bCs/>
          <w:szCs w:val="21"/>
          <w:highlight w:val="none"/>
          <w:lang w:val="en-US" w:eastAsia="zh-CN"/>
        </w:rPr>
        <w:t>5</w:t>
      </w:r>
      <w:r>
        <w:rPr>
          <w:rFonts w:hint="eastAsia" w:ascii="仿宋_GB2312" w:hAnsi="仿宋_GB2312" w:eastAsia="仿宋_GB2312" w:cs="仿宋_GB2312"/>
          <w:bCs/>
          <w:szCs w:val="21"/>
          <w:highlight w:val="none"/>
        </w:rPr>
        <w:t>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eastAsia="zh-CN"/>
        </w:rPr>
        <w:t>（二）</w:t>
      </w:r>
      <w:r>
        <w:rPr>
          <w:rFonts w:hint="eastAsia" w:ascii="仿宋_GB2312" w:hAnsi="仿宋_GB2312" w:eastAsia="仿宋_GB2312" w:cs="仿宋_GB2312"/>
          <w:bCs/>
          <w:szCs w:val="21"/>
          <w:highlight w:val="none"/>
        </w:rPr>
        <w:t>售后部分：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eastAsia="zh-CN"/>
        </w:rPr>
      </w:pPr>
      <w:r>
        <w:rPr>
          <w:rFonts w:hint="eastAsia" w:ascii="仿宋_GB2312" w:hAnsi="仿宋_GB2312" w:eastAsia="仿宋_GB2312" w:cs="仿宋_GB2312"/>
          <w:bCs/>
          <w:szCs w:val="21"/>
          <w:highlight w:val="none"/>
          <w:lang w:val="en-US" w:eastAsia="zh-CN"/>
        </w:rPr>
        <w:t>1.</w:t>
      </w:r>
      <w:r>
        <w:rPr>
          <w:rFonts w:hint="eastAsia" w:ascii="仿宋_GB2312" w:hAnsi="仿宋_GB2312" w:eastAsia="仿宋_GB2312" w:cs="仿宋_GB2312"/>
          <w:bCs/>
          <w:szCs w:val="21"/>
          <w:highlight w:val="none"/>
        </w:rPr>
        <w:t>投诉解决无效：无法帮助</w:t>
      </w:r>
      <w:r>
        <w:rPr>
          <w:rFonts w:hint="eastAsia" w:ascii="仿宋_GB2312" w:hAnsi="仿宋_GB2312" w:eastAsia="仿宋_GB2312" w:cs="仿宋_GB2312"/>
          <w:bCs/>
          <w:szCs w:val="21"/>
          <w:highlight w:val="none"/>
          <w:lang w:eastAsia="zh-CN"/>
        </w:rPr>
        <w:t>中移互联网有限公司</w:t>
      </w:r>
      <w:r>
        <w:rPr>
          <w:rFonts w:hint="eastAsia" w:ascii="仿宋_GB2312" w:hAnsi="仿宋_GB2312" w:eastAsia="仿宋_GB2312" w:cs="仿宋_GB2312"/>
          <w:bCs/>
          <w:szCs w:val="21"/>
          <w:highlight w:val="none"/>
        </w:rPr>
        <w:t>客户解决所负责产品的各类使用问题</w:t>
      </w:r>
      <w:r>
        <w:rPr>
          <w:rFonts w:hint="eastAsia" w:ascii="仿宋_GB2312" w:hAnsi="仿宋_GB2312" w:eastAsia="仿宋_GB2312" w:cs="仿宋_GB2312"/>
          <w:bCs/>
          <w:szCs w:val="21"/>
          <w:highlight w:val="none"/>
          <w:lang w:eastAsia="zh-CN"/>
        </w:rPr>
        <w:t>。</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扣分方式：每收到1次客户书面投诉扣1分，最高扣5分。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2.重大/严重故障解决延迟：解决时效无法满足合同约定要求。</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扣分方式：每发生一次重大故障延迟解决情况扣2分，每发生一次严重故障延迟解决情况扣1分，最高扣5分。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3.重大/严重故障处理不规范：无法满足合同约定要求，包含不及时同步处理进度。</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扣分方式：每发生一次重大故障处理不规范情况扣2分，每发生一次严重故障延迟解决情况扣1分，最高扣5分。</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（三）其他负面行为：若发现其他负面行为造成不良影响，可根据严重程度进行扣分，最高扣5分。</w:t>
      </w:r>
    </w:p>
    <w:p>
      <w:pPr>
        <w:keepNext w:val="0"/>
        <w:keepLines w:val="0"/>
        <w:pageBreakBefore w:val="0"/>
        <w:widowControl w:val="0"/>
        <w:numPr>
          <w:ilvl w:val="0"/>
          <w:numId w:val="0"/>
        </w:numPr>
        <w:kinsoku/>
        <w:wordWrap/>
        <w:overflowPunct/>
        <w:topLinePunct w:val="0"/>
        <w:autoSpaceDE/>
        <w:autoSpaceDN/>
        <w:bidi w:val="0"/>
        <w:adjustRightInd/>
        <w:snapToGrid/>
        <w:spacing w:after="63" w:afterLines="20" w:line="240" w:lineRule="auto"/>
        <w:jc w:val="left"/>
        <w:textAlignment w:val="auto"/>
        <w:rPr>
          <w:rFonts w:hint="eastAsia" w:ascii="仿宋_GB2312" w:hAnsi="仿宋_GB2312" w:eastAsia="仿宋_GB2312" w:cs="仿宋_GB2312"/>
          <w:szCs w:val="21"/>
          <w:highlight w:val="none"/>
          <w:u w:val="none"/>
          <w:lang w:val="en-US" w:eastAsia="zh-CN"/>
        </w:rPr>
      </w:pPr>
    </w:p>
    <w:p>
      <w:pPr>
        <w:numPr>
          <w:ilvl w:val="-1"/>
          <w:numId w:val="0"/>
        </w:numPr>
        <w:topLinePunct w:val="0"/>
        <w:snapToGrid/>
        <w:spacing w:line="360" w:lineRule="auto"/>
        <w:ind w:firstLine="0" w:firstLineChars="0"/>
        <w:jc w:val="left"/>
        <w:rPr>
          <w:rFonts w:hint="eastAsia" w:ascii="仿宋_GB2312" w:hAnsi="仿宋_GB2312" w:eastAsia="仿宋_GB2312" w:cs="仿宋_GB2312"/>
          <w:bCs/>
          <w:szCs w:val="21"/>
          <w:highlight w:val="none"/>
        </w:rPr>
      </w:pPr>
      <w:r>
        <w:rPr>
          <w:rFonts w:hint="eastAsia" w:ascii="仿宋_GB2312" w:hAnsi="仿宋_GB2312" w:eastAsia="仿宋_GB2312" w:cs="仿宋_GB2312"/>
          <w:b/>
          <w:bCs/>
          <w:sz w:val="28"/>
          <w:szCs w:val="28"/>
          <w:highlight w:val="none"/>
          <w:lang w:val="en-US" w:eastAsia="zh-CN"/>
        </w:rPr>
        <w:t xml:space="preserve">                       </w:t>
      </w:r>
      <w:r>
        <w:rPr>
          <w:rFonts w:hint="eastAsia" w:ascii="仿宋_GB2312" w:hAnsi="仿宋_GB2312" w:eastAsia="仿宋_GB2312" w:cs="仿宋_GB2312"/>
          <w:bCs/>
          <w:szCs w:val="21"/>
          <w:highlight w:val="none"/>
        </w:rPr>
        <w:t>报名公司名称：</w:t>
      </w:r>
      <w:r>
        <w:rPr>
          <w:rFonts w:hint="eastAsia" w:ascii="仿宋_GB2312" w:hAnsi="仿宋_GB2312" w:eastAsia="仿宋_GB2312" w:cs="仿宋_GB2312"/>
          <w:bCs/>
          <w:szCs w:val="21"/>
          <w:highlight w:val="none"/>
          <w:u w:val="single"/>
        </w:rPr>
        <w:t xml:space="preserve">                   </w:t>
      </w:r>
      <w:r>
        <w:rPr>
          <w:rFonts w:hint="eastAsia" w:ascii="仿宋_GB2312" w:hAnsi="仿宋_GB2312" w:eastAsia="仿宋_GB2312" w:cs="仿宋_GB2312"/>
          <w:bCs/>
          <w:szCs w:val="21"/>
          <w:highlight w:val="none"/>
        </w:rPr>
        <w:t>（盖公司公章）</w:t>
      </w:r>
    </w:p>
    <w:p>
      <w:pPr>
        <w:numPr>
          <w:ilvl w:val="-1"/>
          <w:numId w:val="0"/>
        </w:numPr>
        <w:topLinePunct w:val="0"/>
        <w:snapToGrid/>
        <w:spacing w:line="360" w:lineRule="auto"/>
        <w:ind w:firstLine="0" w:firstLineChars="0"/>
        <w:jc w:val="left"/>
        <w:rPr>
          <w:rFonts w:hint="eastAsia" w:ascii="仿宋_GB2312" w:hAnsi="仿宋_GB2312" w:eastAsia="仿宋_GB2312" w:cs="仿宋_GB2312"/>
          <w:bCs/>
          <w:szCs w:val="21"/>
          <w:highlight w:val="none"/>
        </w:rPr>
      </w:pPr>
    </w:p>
    <w:p>
      <w:pPr>
        <w:numPr>
          <w:ilvl w:val="-1"/>
          <w:numId w:val="0"/>
        </w:numPr>
        <w:topLinePunct w:val="0"/>
        <w:snapToGrid/>
        <w:spacing w:line="360" w:lineRule="auto"/>
        <w:ind w:firstLine="0" w:firstLineChars="0"/>
        <w:jc w:val="left"/>
        <w:rPr>
          <w:rFonts w:hint="default" w:ascii="仿宋_GB2312" w:hAnsi="仿宋_GB2312" w:eastAsia="仿宋_GB2312" w:cs="仿宋_GB2312"/>
          <w:bCs/>
          <w:szCs w:val="21"/>
          <w:highlight w:val="none"/>
          <w:lang w:val="en-US" w:eastAsia="zh-CN"/>
        </w:rPr>
      </w:pPr>
    </w:p>
    <w:p>
      <w:pPr>
        <w:topLinePunct/>
        <w:snapToGrid w:val="0"/>
        <w:spacing w:line="360" w:lineRule="auto"/>
        <w:ind w:firstLine="420" w:firstLineChars="200"/>
        <w:jc w:val="right"/>
        <w:rPr>
          <w:rFonts w:hint="eastAsia" w:ascii="仿宋_GB2312" w:hAnsi="仿宋_GB2312" w:eastAsia="仿宋_GB2312" w:cs="仿宋_GB2312"/>
          <w:bCs/>
          <w:szCs w:val="21"/>
          <w:highlight w:val="none"/>
        </w:rPr>
      </w:pPr>
      <w:r>
        <w:rPr>
          <w:rFonts w:hint="eastAsia" w:ascii="仿宋_GB2312" w:hAnsi="仿宋_GB2312" w:eastAsia="仿宋_GB2312" w:cs="仿宋_GB2312"/>
          <w:bCs/>
          <w:szCs w:val="21"/>
          <w:highlight w:val="none"/>
          <w:lang w:eastAsia="zh-CN"/>
        </w:rPr>
        <w:t>法定代表人</w:t>
      </w:r>
      <w:r>
        <w:rPr>
          <w:rFonts w:hint="eastAsia" w:ascii="仿宋_GB2312" w:hAnsi="仿宋_GB2312" w:eastAsia="仿宋_GB2312" w:cs="仿宋_GB2312"/>
          <w:bCs/>
          <w:szCs w:val="21"/>
          <w:highlight w:val="none"/>
        </w:rPr>
        <w:t>：</w:t>
      </w:r>
      <w:r>
        <w:rPr>
          <w:rFonts w:hint="eastAsia" w:ascii="仿宋_GB2312" w:hAnsi="仿宋_GB2312" w:eastAsia="仿宋_GB2312" w:cs="仿宋_GB2312"/>
          <w:bCs/>
          <w:szCs w:val="21"/>
          <w:highlight w:val="none"/>
          <w:u w:val="single"/>
        </w:rPr>
        <w:t xml:space="preserve">                             </w:t>
      </w:r>
      <w:r>
        <w:rPr>
          <w:rFonts w:hint="eastAsia" w:ascii="仿宋_GB2312" w:hAnsi="仿宋_GB2312" w:eastAsia="仿宋_GB2312" w:cs="仿宋_GB2312"/>
          <w:bCs/>
          <w:szCs w:val="21"/>
          <w:highlight w:val="none"/>
        </w:rPr>
        <w:t>（签字）</w:t>
      </w:r>
    </w:p>
    <w:p>
      <w:pPr>
        <w:topLinePunct/>
        <w:snapToGrid w:val="0"/>
        <w:spacing w:line="360" w:lineRule="auto"/>
        <w:ind w:firstLine="420" w:firstLineChars="200"/>
        <w:jc w:val="right"/>
        <w:rPr>
          <w:rFonts w:ascii="仿宋_GB2312" w:hAnsi="仿宋_GB2312" w:eastAsia="仿宋_GB2312" w:cs="仿宋_GB2312"/>
          <w:bCs/>
          <w:szCs w:val="21"/>
          <w:highlight w:val="none"/>
        </w:rPr>
      </w:pPr>
      <w:r>
        <w:rPr>
          <w:rFonts w:hint="eastAsia" w:ascii="仿宋_GB2312" w:hAnsi="仿宋_GB2312" w:eastAsia="仿宋_GB2312" w:cs="仿宋_GB2312"/>
          <w:szCs w:val="21"/>
          <w:highlight w:val="none"/>
        </w:rPr>
        <w:t>日期：</w:t>
      </w:r>
      <w:r>
        <w:rPr>
          <w:rFonts w:hint="eastAsia" w:ascii="仿宋_GB2312" w:hAnsi="仿宋_GB2312" w:eastAsia="仿宋_GB2312" w:cs="仿宋_GB2312"/>
          <w:bCs/>
          <w:szCs w:val="21"/>
          <w:highlight w:val="none"/>
          <w:u w:val="single"/>
        </w:rPr>
        <w:t xml:space="preserve">     </w:t>
      </w:r>
      <w:r>
        <w:rPr>
          <w:rFonts w:hint="eastAsia" w:ascii="仿宋_GB2312" w:hAnsi="仿宋_GB2312" w:eastAsia="仿宋_GB2312" w:cs="仿宋_GB2312"/>
          <w:bCs/>
          <w:szCs w:val="21"/>
          <w:highlight w:val="none"/>
        </w:rPr>
        <w:t>年</w:t>
      </w:r>
      <w:r>
        <w:rPr>
          <w:rFonts w:hint="eastAsia" w:ascii="仿宋_GB2312" w:hAnsi="仿宋_GB2312" w:eastAsia="仿宋_GB2312" w:cs="仿宋_GB2312"/>
          <w:bCs/>
          <w:szCs w:val="21"/>
          <w:highlight w:val="none"/>
          <w:u w:val="single"/>
        </w:rPr>
        <w:t xml:space="preserve">     </w:t>
      </w:r>
      <w:r>
        <w:rPr>
          <w:rFonts w:hint="eastAsia" w:ascii="仿宋_GB2312" w:hAnsi="仿宋_GB2312" w:eastAsia="仿宋_GB2312" w:cs="仿宋_GB2312"/>
          <w:bCs/>
          <w:szCs w:val="21"/>
          <w:highlight w:val="none"/>
        </w:rPr>
        <w:t>月</w:t>
      </w:r>
      <w:r>
        <w:rPr>
          <w:rFonts w:hint="eastAsia" w:ascii="仿宋_GB2312" w:hAnsi="仿宋_GB2312" w:eastAsia="仿宋_GB2312" w:cs="仿宋_GB2312"/>
          <w:bCs/>
          <w:szCs w:val="21"/>
          <w:highlight w:val="none"/>
          <w:u w:val="single"/>
        </w:rPr>
        <w:t xml:space="preserve">     </w:t>
      </w:r>
      <w:r>
        <w:rPr>
          <w:rFonts w:hint="eastAsia" w:ascii="仿宋_GB2312" w:hAnsi="仿宋_GB2312" w:eastAsia="仿宋_GB2312" w:cs="仿宋_GB2312"/>
          <w:bCs/>
          <w:szCs w:val="21"/>
          <w:highlight w:val="none"/>
        </w:rPr>
        <w:t>日</w:t>
      </w: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eastAsia="zh-CN"/>
        </w:rPr>
      </w:pPr>
    </w:p>
    <w:p>
      <w:pPr>
        <w:topLinePunct/>
        <w:snapToGrid w:val="0"/>
        <w:spacing w:line="360" w:lineRule="auto"/>
        <w:ind w:firstLine="420" w:firstLineChars="200"/>
        <w:jc w:val="left"/>
        <w:rPr>
          <w:rFonts w:hint="eastAsia" w:ascii="仿宋_GB2312" w:hAnsi="仿宋_GB2312" w:eastAsia="仿宋_GB2312" w:cs="仿宋_GB2312"/>
          <w:bCs/>
          <w:szCs w:val="21"/>
          <w:highlight w:val="none"/>
          <w:lang w:eastAsia="zh-CN"/>
        </w:rPr>
      </w:pPr>
    </w:p>
    <w:p>
      <w:pPr>
        <w:topLinePunct/>
        <w:snapToGrid w:val="0"/>
        <w:spacing w:line="360" w:lineRule="auto"/>
        <w:ind w:firstLine="420" w:firstLineChars="200"/>
        <w:jc w:val="left"/>
      </w:pPr>
      <w:r>
        <w:rPr>
          <w:rFonts w:hint="eastAsia" w:ascii="仿宋_GB2312" w:hAnsi="仿宋_GB2312" w:eastAsia="仿宋_GB2312" w:cs="仿宋_GB2312"/>
          <w:bCs/>
          <w:szCs w:val="21"/>
          <w:highlight w:val="none"/>
          <w:lang w:eastAsia="zh-CN"/>
        </w:rPr>
        <w:t>注：</w:t>
      </w:r>
      <w:r>
        <w:rPr>
          <w:rFonts w:hint="eastAsia" w:ascii="仿宋_GB2312" w:hAnsi="仿宋_GB2312" w:eastAsia="仿宋_GB2312" w:cs="仿宋_GB2312"/>
          <w:bCs/>
          <w:szCs w:val="21"/>
          <w:highlight w:val="none"/>
        </w:rPr>
        <w:t>应答文件应当使用不褪色的材料书写或者打印，并加盖单位公章</w:t>
      </w:r>
      <w:r>
        <w:rPr>
          <w:rFonts w:hint="eastAsia" w:ascii="仿宋_GB2312" w:hAnsi="仿宋_GB2312" w:eastAsia="仿宋_GB2312" w:cs="仿宋_GB2312"/>
          <w:bCs/>
          <w:szCs w:val="21"/>
          <w:highlight w:val="none"/>
          <w:lang w:val="en-US" w:eastAsia="zh-CN"/>
        </w:rPr>
        <w:t>且</w:t>
      </w:r>
      <w:r>
        <w:rPr>
          <w:rFonts w:hint="eastAsia" w:ascii="仿宋_GB2312" w:hAnsi="仿宋_GB2312" w:eastAsia="仿宋_GB2312" w:cs="仿宋_GB2312"/>
          <w:bCs/>
          <w:szCs w:val="21"/>
          <w:highlight w:val="none"/>
        </w:rPr>
        <w:t>由应答人的</w:t>
      </w:r>
      <w:r>
        <w:rPr>
          <w:rFonts w:hint="eastAsia" w:ascii="仿宋_GB2312" w:hAnsi="仿宋_GB2312" w:eastAsia="仿宋_GB2312" w:cs="仿宋_GB2312"/>
          <w:bCs/>
          <w:szCs w:val="21"/>
          <w:highlight w:val="yellow"/>
        </w:rPr>
        <w:t>法定代表人</w:t>
      </w:r>
      <w:r>
        <w:rPr>
          <w:rFonts w:hint="eastAsia" w:ascii="仿宋_GB2312" w:hAnsi="仿宋_GB2312" w:eastAsia="仿宋_GB2312" w:cs="仿宋_GB2312"/>
          <w:bCs/>
          <w:szCs w:val="21"/>
          <w:highlight w:val="none"/>
        </w:rPr>
        <w:t>签字。</w:t>
      </w:r>
    </w:p>
    <w:p>
      <w:pPr>
        <w:topLinePunct/>
        <w:snapToGrid w:val="0"/>
        <w:spacing w:line="360" w:lineRule="auto"/>
        <w:ind w:firstLine="361" w:firstLineChars="200"/>
        <w:jc w:val="center"/>
        <w:rPr>
          <w:rFonts w:hint="eastAsia" w:ascii="仿宋_GB2312" w:hAnsi="仿宋_GB2312" w:eastAsia="仿宋_GB2312" w:cs="仿宋_GB2312"/>
          <w:b/>
          <w:bCs w:val="0"/>
          <w:sz w:val="18"/>
          <w:szCs w:val="18"/>
          <w:highlight w:val="yellow"/>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B062C8"/>
    <w:multiLevelType w:val="singleLevel"/>
    <w:tmpl w:val="BAB062C8"/>
    <w:lvl w:ilvl="0" w:tentative="0">
      <w:start w:val="1"/>
      <w:numFmt w:val="decimal"/>
      <w:lvlText w:val="(%1)"/>
      <w:lvlJc w:val="left"/>
      <w:pPr>
        <w:ind w:left="425" w:hanging="425"/>
      </w:pPr>
      <w:rPr>
        <w:rFonts w:hint="default"/>
      </w:rPr>
    </w:lvl>
  </w:abstractNum>
  <w:abstractNum w:abstractNumId="1">
    <w:nsid w:val="F067B41C"/>
    <w:multiLevelType w:val="singleLevel"/>
    <w:tmpl w:val="F067B41C"/>
    <w:lvl w:ilvl="0" w:tentative="0">
      <w:start w:val="1"/>
      <w:numFmt w:val="decimal"/>
      <w:lvlText w:val="(%1)"/>
      <w:lvlJc w:val="left"/>
      <w:pPr>
        <w:tabs>
          <w:tab w:val="left" w:pos="420"/>
        </w:tabs>
        <w:ind w:left="845" w:hanging="425"/>
      </w:pPr>
      <w:rPr>
        <w:rFonts w:hint="default"/>
      </w:rPr>
    </w:lvl>
  </w:abstractNum>
  <w:abstractNum w:abstractNumId="2">
    <w:nsid w:val="7831BE02"/>
    <w:multiLevelType w:val="singleLevel"/>
    <w:tmpl w:val="7831BE02"/>
    <w:lvl w:ilvl="0" w:tentative="0">
      <w:start w:val="1"/>
      <w:numFmt w:val="decimal"/>
      <w:lvlText w:val="(%1)"/>
      <w:lvlJc w:val="left"/>
      <w:pPr>
        <w:tabs>
          <w:tab w:val="left" w:pos="420"/>
        </w:tabs>
        <w:ind w:left="84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713E97"/>
    <w:rsid w:val="042711AF"/>
    <w:rsid w:val="089B216C"/>
    <w:rsid w:val="0DAA6F6B"/>
    <w:rsid w:val="10713E97"/>
    <w:rsid w:val="21244F9D"/>
    <w:rsid w:val="25C66622"/>
    <w:rsid w:val="25D212CF"/>
    <w:rsid w:val="2A6D1762"/>
    <w:rsid w:val="33204C36"/>
    <w:rsid w:val="376637C1"/>
    <w:rsid w:val="38824D91"/>
    <w:rsid w:val="40093884"/>
    <w:rsid w:val="473B018A"/>
    <w:rsid w:val="48164C72"/>
    <w:rsid w:val="515D57DD"/>
    <w:rsid w:val="53A11E83"/>
    <w:rsid w:val="58B303D9"/>
    <w:rsid w:val="5BD90156"/>
    <w:rsid w:val="5CB87D6C"/>
    <w:rsid w:val="5EF01A3F"/>
    <w:rsid w:val="616B05FE"/>
    <w:rsid w:val="696F3EA8"/>
    <w:rsid w:val="6A154A4F"/>
    <w:rsid w:val="76FB4FCD"/>
    <w:rsid w:val="782F31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60" w:beforeAutospacing="1" w:after="0" w:afterAutospacing="1"/>
      <w:jc w:val="left"/>
      <w:outlineLvl w:val="1"/>
    </w:pPr>
    <w:rPr>
      <w:rFonts w:hint="eastAsia" w:ascii="宋体" w:hAnsi="宋体" w:eastAsia="华文仿宋" w:cs="宋体"/>
      <w:b/>
      <w:bCs/>
      <w:kern w:val="0"/>
      <w:sz w:val="36"/>
      <w:szCs w:val="36"/>
      <w:lang w:bidi="ar"/>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1726</Words>
  <Characters>1741</Characters>
  <TotalTime>0</TotalTime>
  <ScaleCrop>false</ScaleCrop>
  <LinksUpToDate>false</LinksUpToDate>
  <CharactersWithSpaces>1846</CharactersWithSpaces>
  <Application>WPS Office_11.8.2.12187_F1E327BC-269C-435d-A152-05C5408002CA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2025-07-11T15:47:00Z</dcterms:created>
  <dc:creator>CMIC</dc:creator>
  <cp:lastModifiedBy>WPS_1604299328</cp:lastModifiedBy>
  <dcterms:modified xsi:type="dcterms:W3CDTF">2025-10-24T08:52:47Z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8C3F3FB5970D4981AF84F6E8FBAEB468</vt:lpwstr>
  </property>
</Properties>
</file>